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F1989" w:rsidR="005F1989" w:rsidP="005F1989" w:rsidRDefault="005F1989" w14:paraId="20A8F02A" w14:textId="77777777">
      <w:pPr>
        <w:spacing w:after="160" w:line="259" w:lineRule="auto"/>
        <w:jc w:val="center"/>
        <w:rPr>
          <w:rFonts w:ascii="Century Gothic" w:hAnsi="Century Gothic" w:eastAsiaTheme="minorHAnsi"/>
          <w:b/>
          <w:sz w:val="22"/>
          <w:szCs w:val="22"/>
          <w:lang w:eastAsia="en-US"/>
        </w:rPr>
      </w:pPr>
      <w:r w:rsidRPr="005F1989">
        <w:rPr>
          <w:rFonts w:ascii="Century Gothic" w:hAnsi="Century Gothic" w:eastAsiaTheme="minorHAnsi"/>
          <w:b/>
          <w:sz w:val="22"/>
          <w:szCs w:val="22"/>
          <w:lang w:eastAsia="en-US"/>
        </w:rPr>
        <w:t>PATTO DI INTEGRITÀ</w:t>
      </w:r>
    </w:p>
    <w:p w:rsidRPr="005F1989" w:rsidR="005F1989" w:rsidP="005F1989" w:rsidRDefault="005F1989" w14:paraId="0C122D17"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b/>
          <w:bCs/>
          <w:sz w:val="22"/>
          <w:szCs w:val="22"/>
          <w:lang w:eastAsia="en-US"/>
        </w:rPr>
        <w:t>TRA IL CONSIGLIO NAZIONALE DELLE RICERCHE E GLI OPERATORI ECONOMICI PARTECIPANTI ALLE PROCEDURE DI AFFIDAMENTO DI</w:t>
      </w:r>
      <w:r w:rsidRPr="005F1989">
        <w:rPr>
          <w:rFonts w:ascii="Century Gothic" w:hAnsi="Century Gothic" w:eastAsiaTheme="minorHAnsi"/>
          <w:b/>
          <w:bCs/>
          <w:color w:val="FF0000"/>
          <w:sz w:val="22"/>
          <w:szCs w:val="22"/>
          <w:lang w:eastAsia="en-US"/>
        </w:rPr>
        <w:t xml:space="preserve"> </w:t>
      </w:r>
      <w:r w:rsidRPr="005F1989">
        <w:rPr>
          <w:rFonts w:ascii="Century Gothic" w:hAnsi="Century Gothic" w:eastAsiaTheme="minorHAnsi"/>
          <w:b/>
          <w:bCs/>
          <w:sz w:val="22"/>
          <w:szCs w:val="22"/>
          <w:lang w:eastAsia="en-US"/>
        </w:rPr>
        <w:t>SERVIZI E FORNITURE AI SENSI DEL D.LGS. 36/2023</w:t>
      </w:r>
    </w:p>
    <w:p w:rsidRPr="005F1989" w:rsidR="005F1989" w:rsidP="77B112C9" w:rsidRDefault="005F1989" w14:paraId="305876D1" w14:textId="6370C420">
      <w:pPr>
        <w:spacing w:before="240" w:after="57" w:line="276" w:lineRule="auto"/>
        <w:jc w:val="both"/>
        <w:rPr>
          <w:rFonts w:ascii="Calibri" w:hAnsi="Calibri" w:eastAsia="" w:cs="" w:asciiTheme="minorAscii" w:hAnsiTheme="minorAscii" w:eastAsiaTheme="minorEastAsia" w:cstheme="minorBidi"/>
          <w:sz w:val="22"/>
          <w:szCs w:val="22"/>
          <w:lang w:eastAsia="en-US"/>
        </w:rPr>
      </w:pPr>
      <w:r w:rsidRPr="77B112C9" w:rsidR="005F1989">
        <w:rPr>
          <w:rFonts w:ascii="Century Gothic" w:hAnsi="Century Gothic" w:eastAsia="Calibri" w:cs="" w:eastAsiaTheme="minorAscii" w:cstheme="minorBidi"/>
          <w:sz w:val="22"/>
          <w:szCs w:val="22"/>
          <w:lang w:eastAsia="en-US"/>
        </w:rPr>
        <w:t xml:space="preserve">Relativo all’affidamento dei </w:t>
      </w:r>
      <w:r w:rsidRPr="77B112C9" w:rsidR="005F1989">
        <w:rPr>
          <w:rFonts w:ascii="Calibri" w:hAnsi="Calibri" w:eastAsia="" w:cs="" w:asciiTheme="minorAscii" w:hAnsiTheme="minorAscii" w:eastAsiaTheme="minorEastAsia" w:cstheme="minorBidi"/>
          <w:sz w:val="22"/>
          <w:szCs w:val="22"/>
          <w:lang w:eastAsia="en-US"/>
        </w:rPr>
        <w:t xml:space="preserve">Lavori di messa a norma ed ammodernamento dei “gruppi frigo” presso l’Area Territoriale di Ricerca di Bologna del Consiglio Nazionale delle Ricerche CUP B37G22001200005 CIG </w:t>
      </w:r>
      <w:r w:rsidRPr="77B112C9" w:rsidR="5CA23CA5">
        <w:rPr>
          <w:rFonts w:ascii="Calibri" w:hAnsi="Calibri" w:eastAsia="Calibri" w:cs="Calibri"/>
          <w:noProof w:val="0"/>
          <w:color w:val="000000" w:themeColor="text1" w:themeTint="FF" w:themeShade="FF"/>
          <w:sz w:val="22"/>
          <w:szCs w:val="22"/>
          <w:lang w:val="it-IT"/>
        </w:rPr>
        <w:t>B80A1B9924</w:t>
      </w:r>
    </w:p>
    <w:p w:rsidRPr="005F1989" w:rsidR="005F1989" w:rsidP="005F1989" w:rsidRDefault="005F1989" w14:paraId="4CD2F0E3" w14:textId="77777777">
      <w:pPr>
        <w:tabs>
          <w:tab w:val="left" w:pos="2505"/>
          <w:tab w:val="center" w:pos="4819"/>
        </w:tabs>
        <w:spacing w:after="160" w:line="259" w:lineRule="auto"/>
        <w:rPr>
          <w:rFonts w:ascii="Century Gothic" w:hAnsi="Century Gothic" w:eastAsiaTheme="minorHAnsi"/>
          <w:b/>
          <w:sz w:val="22"/>
          <w:szCs w:val="22"/>
          <w:lang w:eastAsia="en-US"/>
        </w:rPr>
      </w:pPr>
      <w:r w:rsidRPr="005F1989">
        <w:rPr>
          <w:rFonts w:ascii="Century Gothic" w:hAnsi="Century Gothic" w:eastAsiaTheme="minorHAnsi"/>
          <w:b/>
          <w:sz w:val="22"/>
          <w:szCs w:val="22"/>
          <w:lang w:eastAsia="en-US"/>
        </w:rPr>
        <w:tab/>
      </w:r>
      <w:r w:rsidRPr="005F1989">
        <w:rPr>
          <w:rFonts w:ascii="Century Gothic" w:hAnsi="Century Gothic" w:eastAsiaTheme="minorHAnsi"/>
          <w:b/>
          <w:sz w:val="22"/>
          <w:szCs w:val="22"/>
          <w:lang w:eastAsia="en-US"/>
        </w:rPr>
        <w:tab/>
      </w:r>
      <w:r w:rsidRPr="005F1989">
        <w:rPr>
          <w:rFonts w:ascii="Century Gothic" w:hAnsi="Century Gothic" w:eastAsiaTheme="minorHAnsi"/>
          <w:b/>
          <w:sz w:val="22"/>
          <w:szCs w:val="22"/>
          <w:lang w:eastAsia="en-US"/>
        </w:rPr>
        <w:t>TRA</w:t>
      </w:r>
    </w:p>
    <w:p w:rsidRPr="005F1989" w:rsidR="005F1989" w:rsidP="005F1989" w:rsidRDefault="005F1989" w14:paraId="537020CF"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L’Area Territoriale di Ricerca di Bologna del CNR - C.F. 80054330586 (di seguito denominato CNR o Amministrazione) – in persona del Presidente Dott. Vittorio Morandi;</w:t>
      </w:r>
    </w:p>
    <w:p w:rsidRPr="005F1989" w:rsidR="005F1989" w:rsidP="005F1989" w:rsidRDefault="005F1989" w14:paraId="0FA79811" w14:textId="77777777">
      <w:pPr>
        <w:spacing w:after="160" w:line="259" w:lineRule="auto"/>
        <w:jc w:val="center"/>
        <w:rPr>
          <w:rFonts w:ascii="Century Gothic" w:hAnsi="Century Gothic" w:eastAsiaTheme="minorHAnsi"/>
          <w:b/>
          <w:sz w:val="22"/>
          <w:szCs w:val="22"/>
          <w:lang w:eastAsia="en-US"/>
        </w:rPr>
      </w:pPr>
      <w:r w:rsidRPr="005F1989">
        <w:rPr>
          <w:rFonts w:ascii="Century Gothic" w:hAnsi="Century Gothic" w:eastAsiaTheme="minorHAnsi"/>
          <w:b/>
          <w:sz w:val="22"/>
          <w:szCs w:val="22"/>
          <w:lang w:eastAsia="en-US"/>
        </w:rPr>
        <w:t>E</w:t>
      </w:r>
    </w:p>
    <w:p w:rsidRPr="005F1989" w:rsidR="005F1989" w:rsidP="005F1989" w:rsidRDefault="005F1989" w14:paraId="2B81891D" w14:textId="77777777">
      <w:pPr>
        <w:autoSpaceDE w:val="0"/>
        <w:autoSpaceDN w:val="0"/>
        <w:adjustRightInd w:val="0"/>
        <w:rPr>
          <w:rFonts w:ascii="Century Gothic" w:hAnsi="Century Gothic" w:eastAsiaTheme="minorHAnsi"/>
          <w:color w:val="000000"/>
          <w:sz w:val="22"/>
          <w:szCs w:val="22"/>
          <w:lang w:eastAsia="en-US"/>
        </w:rPr>
      </w:pPr>
      <w:r w:rsidRPr="005F1989">
        <w:rPr>
          <w:rFonts w:ascii="Century Gothic" w:hAnsi="Century Gothic" w:eastAsiaTheme="minorHAnsi"/>
          <w:color w:val="000000"/>
          <w:sz w:val="22"/>
          <w:szCs w:val="22"/>
          <w:lang w:eastAsia="en-US"/>
        </w:rPr>
        <w:t xml:space="preserve">L’operatore economico </w:t>
      </w:r>
      <w:r w:rsidRPr="005F1989">
        <w:rPr>
          <w:rFonts w:eastAsiaTheme="minorHAnsi"/>
          <w:b/>
          <w:bCs/>
          <w:color w:val="000000"/>
          <w:sz w:val="22"/>
          <w:szCs w:val="22"/>
          <w:lang w:eastAsia="en-US"/>
        </w:rPr>
        <w:t xml:space="preserve">[…] </w:t>
      </w:r>
      <w:r w:rsidRPr="005F1989">
        <w:rPr>
          <w:rFonts w:ascii="Century Gothic" w:hAnsi="Century Gothic" w:eastAsiaTheme="minorHAnsi"/>
          <w:color w:val="000000"/>
          <w:sz w:val="22"/>
          <w:szCs w:val="22"/>
          <w:lang w:eastAsia="en-US"/>
        </w:rPr>
        <w:t>(di   seguito Operatore Economico) con sede legale in […] C.F./ P. IVA […]  rappresentato da […] in qualità di […]</w:t>
      </w:r>
    </w:p>
    <w:p w:rsidRPr="005F1989" w:rsidR="005F1989" w:rsidP="005F1989" w:rsidRDefault="005F1989" w14:paraId="2375D535" w14:textId="77777777">
      <w:pPr>
        <w:spacing w:after="160" w:line="259" w:lineRule="auto"/>
        <w:jc w:val="center"/>
        <w:rPr>
          <w:rFonts w:ascii="Century Gothic" w:hAnsi="Century Gothic" w:eastAsiaTheme="minorHAnsi"/>
          <w:b/>
          <w:sz w:val="22"/>
          <w:szCs w:val="22"/>
          <w:lang w:eastAsia="en-US"/>
        </w:rPr>
      </w:pPr>
    </w:p>
    <w:p w:rsidRPr="005F1989" w:rsidR="005F1989" w:rsidP="005F1989" w:rsidRDefault="005F1989" w14:paraId="7A812A84" w14:textId="77777777">
      <w:pPr>
        <w:spacing w:after="160" w:line="259" w:lineRule="auto"/>
        <w:jc w:val="center"/>
        <w:rPr>
          <w:rFonts w:ascii="Century Gothic" w:hAnsi="Century Gothic" w:eastAsiaTheme="minorHAnsi"/>
          <w:b/>
          <w:sz w:val="22"/>
          <w:szCs w:val="22"/>
          <w:lang w:eastAsia="en-US"/>
        </w:rPr>
      </w:pPr>
      <w:r w:rsidRPr="005F1989">
        <w:rPr>
          <w:rFonts w:ascii="Century Gothic" w:hAnsi="Century Gothic" w:eastAsiaTheme="minorHAnsi"/>
          <w:b/>
          <w:sz w:val="22"/>
          <w:szCs w:val="22"/>
          <w:lang w:eastAsia="en-US"/>
        </w:rPr>
        <w:t>VISTO</w:t>
      </w:r>
    </w:p>
    <w:p w:rsidRPr="005F1989" w:rsidR="005F1989" w:rsidP="005F1989" w:rsidRDefault="005F1989" w14:paraId="4849091B"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l’art.1, comma 17, della Legge 6 novembre 2012, n.190, recante “Disposizioni per la prevenzione e la repressione della corruzione e dell’illegalità nella pubblica Amministrazione”;</w:t>
      </w:r>
    </w:p>
    <w:p w:rsidRPr="005F1989" w:rsidR="005F1989" w:rsidP="005F1989" w:rsidRDefault="005F1989" w14:paraId="34EF3417"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il Piano Nazionale Anticorruzione 2022 approvato dall’Autorità Nazionale Anticorruzione (di seguito denominata ANAC) con Delibera n. 7 del 17 gennaio 2023 e successivi aggiornamenti;</w:t>
      </w:r>
    </w:p>
    <w:p w:rsidRPr="005F1989" w:rsidR="005F1989" w:rsidP="005F1989" w:rsidRDefault="005F1989" w14:paraId="57AE23AE"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xml:space="preserve">- il D.lgs. 31 marzo 2023, n. 36 recante “Codice dei contratti pubblici in attuazione dell'articolo 1 della legge 21 giugno 2022, n. 78, recante delega al Governo in materia di contratti pubblici” (di seguito denominato Codice dei Contratti pubblici); </w:t>
      </w:r>
    </w:p>
    <w:p w:rsidRPr="005F1989" w:rsidR="005F1989" w:rsidP="005F1989" w:rsidRDefault="005F1989" w14:paraId="4E9BB56F"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Piano Integrato di Attività e Organizzazione (PIAO) 2023-2025 del Consiglio Nazionale delle Ricerche (CNR), adottato con delibera del Consiglio di Amministrazione n. 77/2023 del 21 marzo 2023;</w:t>
      </w:r>
    </w:p>
    <w:p w:rsidRPr="005F1989" w:rsidR="005F1989" w:rsidP="005F1989" w:rsidRDefault="005F1989" w14:paraId="468C3A64"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il D.P.R. 16 aprile 2013, n. 62, con il quale è stato emanato il “Regolamento recante codice di comportamento dei dipendenti pubblici, a norma dell’art. 54 del decreto legislativo 30 marzo 2001, n. 165”;</w:t>
      </w:r>
    </w:p>
    <w:p w:rsidRPr="005F1989" w:rsidR="005F1989" w:rsidP="005F1989" w:rsidRDefault="005F1989" w14:paraId="0CA8EAB8"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il Codice di comportamento dei dipendenti del CNR, adottato con delibera del Consiglio di amministrazione n. 132/2014 del 10 luglio 2014, aggiornato con delibera n. 137/2017 del 17 ottobre 2017;</w:t>
      </w:r>
    </w:p>
    <w:p w:rsidRPr="005F1989" w:rsidR="005F1989" w:rsidP="005F1989" w:rsidRDefault="005F1989" w14:paraId="474146E5" w14:textId="77777777">
      <w:pPr>
        <w:spacing w:after="160" w:line="259" w:lineRule="auto"/>
        <w:jc w:val="center"/>
        <w:rPr>
          <w:rFonts w:ascii="Century Gothic" w:hAnsi="Century Gothic" w:eastAsiaTheme="minorHAnsi"/>
          <w:b/>
          <w:sz w:val="22"/>
          <w:szCs w:val="22"/>
          <w:lang w:eastAsia="en-US"/>
        </w:rPr>
      </w:pPr>
      <w:r w:rsidRPr="005F1989">
        <w:rPr>
          <w:rFonts w:ascii="Century Gothic" w:hAnsi="Century Gothic" w:eastAsiaTheme="minorHAnsi"/>
          <w:b/>
          <w:sz w:val="22"/>
          <w:szCs w:val="22"/>
          <w:lang w:eastAsia="en-US"/>
        </w:rPr>
        <w:t>L’AMMINISTRAZIONE e L’OPERATORE ECONOMICO CONVENGONO QUANTO SEGUE</w:t>
      </w:r>
    </w:p>
    <w:p w:rsidRPr="005F1989" w:rsidR="005F1989" w:rsidP="005F1989" w:rsidRDefault="005F1989" w14:paraId="2E49A5EB" w14:textId="77777777">
      <w:pPr>
        <w:spacing w:line="259" w:lineRule="auto"/>
        <w:jc w:val="center"/>
        <w:rPr>
          <w:rFonts w:ascii="Century Gothic" w:hAnsi="Century Gothic" w:eastAsiaTheme="minorHAnsi"/>
          <w:b/>
          <w:sz w:val="22"/>
          <w:szCs w:val="22"/>
          <w:lang w:eastAsia="en-US"/>
        </w:rPr>
      </w:pPr>
      <w:r w:rsidRPr="005F1989">
        <w:rPr>
          <w:rFonts w:ascii="Century Gothic" w:hAnsi="Century Gothic" w:eastAsiaTheme="minorHAnsi"/>
          <w:b/>
          <w:sz w:val="22"/>
          <w:szCs w:val="22"/>
          <w:lang w:eastAsia="en-US"/>
        </w:rPr>
        <w:t>Articolo 1</w:t>
      </w:r>
    </w:p>
    <w:p w:rsidRPr="005F1989" w:rsidR="005F1989" w:rsidP="005F1989" w:rsidRDefault="005F1989" w14:paraId="5A6F0355" w14:textId="77777777">
      <w:pPr>
        <w:spacing w:after="160" w:line="259" w:lineRule="auto"/>
        <w:jc w:val="center"/>
        <w:rPr>
          <w:rFonts w:ascii="Century Gothic" w:hAnsi="Century Gothic" w:eastAsiaTheme="minorHAnsi"/>
          <w:b/>
          <w:sz w:val="22"/>
          <w:szCs w:val="22"/>
          <w:lang w:eastAsia="en-US"/>
        </w:rPr>
      </w:pPr>
      <w:r w:rsidRPr="005F1989">
        <w:rPr>
          <w:rFonts w:ascii="Century Gothic" w:hAnsi="Century Gothic" w:eastAsiaTheme="minorHAnsi"/>
          <w:b/>
          <w:sz w:val="22"/>
          <w:szCs w:val="22"/>
          <w:lang w:eastAsia="en-US"/>
        </w:rPr>
        <w:t>(Finalità ed ambito di applicazione)</w:t>
      </w:r>
    </w:p>
    <w:p w:rsidRPr="005F1989" w:rsidR="005F1989" w:rsidP="005F1989" w:rsidRDefault="005F1989" w14:paraId="6FDFC159"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xml:space="preserve">1. Il presente Patto di integrità rappresenta una misura di prevenzione nei confronti di pratiche corruttive, </w:t>
      </w:r>
      <w:proofErr w:type="spellStart"/>
      <w:r w:rsidRPr="005F1989">
        <w:rPr>
          <w:rFonts w:ascii="Century Gothic" w:hAnsi="Century Gothic" w:eastAsiaTheme="minorHAnsi"/>
          <w:sz w:val="22"/>
          <w:szCs w:val="22"/>
          <w:lang w:eastAsia="en-US"/>
        </w:rPr>
        <w:t>concussive</w:t>
      </w:r>
      <w:proofErr w:type="spellEnd"/>
      <w:r w:rsidRPr="005F1989">
        <w:rPr>
          <w:rFonts w:ascii="Century Gothic" w:hAnsi="Century Gothic" w:eastAsiaTheme="minorHAnsi"/>
          <w:sz w:val="22"/>
          <w:szCs w:val="22"/>
          <w:lang w:eastAsia="en-US"/>
        </w:rPr>
        <w:t xml:space="preserve"> o comunque tendenti ad inficiare il corretto svolgimento dell’azione amministrativa nell’ambito dei pubblici appalti banditi dall’Amministrazione.</w:t>
      </w:r>
    </w:p>
    <w:p w:rsidRPr="005F1989" w:rsidR="005F1989" w:rsidP="005F1989" w:rsidRDefault="005F1989" w14:paraId="76095BA1"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2. Nel Patto sono stabilite reciproche e formali obbligazioni tra l’Amministrazione ed ogni Operatore Economico partecipante alla procedura di gara ed eventualmente aggiudicatario della stessa, al fine di conformare i propri comportamenti ai principi di lealtà, trasparenza e correttezza in tutte le fasi dell’appalto, dalla partecipazione alla esecuzione contrattuale.</w:t>
      </w:r>
    </w:p>
    <w:p w:rsidRPr="005F1989" w:rsidR="005F1989" w:rsidP="005F1989" w:rsidRDefault="005F1989" w14:paraId="600D29B2"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3. Con il Patto di integrità le Parti, in particolare, assumono l’espresso impegno anticorruzione di non offrire, accettare o richiedere somme di denaro o qualsiasi altra ricompensa, vantaggio o beneficio - sia direttamente che indirettamente tramite intermediari - al fine dell’assegnazione del contratto e/o per distorcerne la relativa corretta esecuzione in corso d’opera.</w:t>
      </w:r>
    </w:p>
    <w:p w:rsidRPr="005F1989" w:rsidR="005F1989" w:rsidP="005F1989" w:rsidRDefault="005F1989" w14:paraId="74057564" w14:textId="77777777">
      <w:pPr>
        <w:spacing w:after="160" w:line="259" w:lineRule="auto"/>
        <w:jc w:val="both"/>
        <w:rPr>
          <w:rFonts w:ascii="Century Gothic" w:hAnsi="Century Gothic" w:eastAsiaTheme="minorHAnsi"/>
          <w:b/>
          <w:bCs/>
          <w:sz w:val="22"/>
          <w:szCs w:val="22"/>
          <w:lang w:eastAsia="en-US"/>
        </w:rPr>
      </w:pPr>
      <w:r w:rsidRPr="005F1989">
        <w:rPr>
          <w:rFonts w:ascii="Century Gothic" w:hAnsi="Century Gothic" w:eastAsiaTheme="minorHAnsi"/>
          <w:sz w:val="22"/>
          <w:szCs w:val="22"/>
          <w:lang w:eastAsia="en-US"/>
        </w:rPr>
        <w:t xml:space="preserve">4. Il presente Patto trova applicazione in tutte le procedure di gara sopra e </w:t>
      </w:r>
      <w:proofErr w:type="spellStart"/>
      <w:r w:rsidRPr="005F1989">
        <w:rPr>
          <w:rFonts w:ascii="Century Gothic" w:hAnsi="Century Gothic" w:eastAsiaTheme="minorHAnsi"/>
          <w:sz w:val="22"/>
          <w:szCs w:val="22"/>
          <w:lang w:eastAsia="en-US"/>
        </w:rPr>
        <w:t>sottosoglia</w:t>
      </w:r>
      <w:proofErr w:type="spellEnd"/>
      <w:r w:rsidRPr="005F1989">
        <w:rPr>
          <w:rFonts w:ascii="Century Gothic" w:hAnsi="Century Gothic" w:eastAsiaTheme="minorHAnsi"/>
          <w:sz w:val="22"/>
          <w:szCs w:val="22"/>
          <w:lang w:eastAsia="en-US"/>
        </w:rPr>
        <w:t xml:space="preserve"> comunitaria</w:t>
      </w:r>
      <w:r w:rsidRPr="005F1989">
        <w:rPr>
          <w:rFonts w:ascii="Century Gothic" w:hAnsi="Century Gothic" w:eastAsiaTheme="minorHAnsi"/>
          <w:b/>
          <w:bCs/>
          <w:sz w:val="22"/>
          <w:szCs w:val="22"/>
          <w:lang w:eastAsia="en-US"/>
        </w:rPr>
        <w:t xml:space="preserve">, </w:t>
      </w:r>
      <w:r w:rsidRPr="005F1989">
        <w:rPr>
          <w:rFonts w:ascii="Century Gothic" w:hAnsi="Century Gothic" w:eastAsiaTheme="minorHAnsi"/>
          <w:sz w:val="22"/>
          <w:szCs w:val="22"/>
          <w:lang w:eastAsia="en-US"/>
        </w:rPr>
        <w:t xml:space="preserve">salvo che per l’affidamento specifico sussista già un apposito Patto di integrità predisposto da altro soggetto giuridico (ad es. </w:t>
      </w:r>
      <w:proofErr w:type="spellStart"/>
      <w:r w:rsidRPr="005F1989">
        <w:rPr>
          <w:rFonts w:ascii="Century Gothic" w:hAnsi="Century Gothic" w:eastAsiaTheme="minorHAnsi"/>
          <w:sz w:val="22"/>
          <w:szCs w:val="22"/>
          <w:lang w:eastAsia="en-US"/>
        </w:rPr>
        <w:t>Consip</w:t>
      </w:r>
      <w:proofErr w:type="spellEnd"/>
      <w:r w:rsidRPr="005F1989">
        <w:rPr>
          <w:rFonts w:ascii="Century Gothic" w:hAnsi="Century Gothic" w:eastAsiaTheme="minorHAnsi"/>
          <w:sz w:val="22"/>
          <w:szCs w:val="22"/>
          <w:lang w:eastAsia="en-US"/>
        </w:rPr>
        <w:t xml:space="preserve">). Nelle procedure </w:t>
      </w:r>
      <w:proofErr w:type="spellStart"/>
      <w:r w:rsidRPr="005F1989">
        <w:rPr>
          <w:rFonts w:ascii="Century Gothic" w:hAnsi="Century Gothic" w:eastAsiaTheme="minorHAnsi"/>
          <w:sz w:val="22"/>
          <w:szCs w:val="22"/>
          <w:lang w:eastAsia="en-US"/>
        </w:rPr>
        <w:t>sottosoglia</w:t>
      </w:r>
      <w:proofErr w:type="spellEnd"/>
      <w:r w:rsidRPr="005F1989">
        <w:rPr>
          <w:rFonts w:ascii="Century Gothic" w:hAnsi="Century Gothic" w:eastAsiaTheme="minorHAnsi"/>
          <w:sz w:val="22"/>
          <w:szCs w:val="22"/>
          <w:lang w:eastAsia="en-US"/>
        </w:rPr>
        <w:t xml:space="preserve"> si intendono ricompresi anche gli affidamenti diretti effettuati entro</w:t>
      </w:r>
      <w:r w:rsidRPr="005F1989">
        <w:rPr>
          <w:rFonts w:ascii="Century Gothic" w:hAnsi="Century Gothic" w:eastAsiaTheme="minorHAnsi"/>
          <w:color w:val="FF0000"/>
          <w:sz w:val="22"/>
          <w:szCs w:val="22"/>
          <w:lang w:eastAsia="en-US"/>
        </w:rPr>
        <w:t xml:space="preserve"> </w:t>
      </w:r>
      <w:r w:rsidRPr="005F1989">
        <w:rPr>
          <w:rFonts w:ascii="Century Gothic" w:hAnsi="Century Gothic" w:eastAsiaTheme="minorHAnsi"/>
          <w:sz w:val="22"/>
          <w:szCs w:val="22"/>
          <w:lang w:eastAsia="en-US"/>
        </w:rPr>
        <w:t>il limite dei 139.000,00 euro (</w:t>
      </w:r>
      <w:proofErr w:type="spellStart"/>
      <w:r w:rsidRPr="005F1989">
        <w:rPr>
          <w:rFonts w:ascii="Century Gothic" w:hAnsi="Century Gothic" w:eastAsiaTheme="minorHAnsi"/>
          <w:sz w:val="22"/>
          <w:szCs w:val="22"/>
          <w:lang w:eastAsia="en-US"/>
        </w:rPr>
        <w:t>centotrentanovemila</w:t>
      </w:r>
      <w:proofErr w:type="spellEnd"/>
      <w:r w:rsidRPr="005F1989">
        <w:rPr>
          <w:rFonts w:ascii="Century Gothic" w:hAnsi="Century Gothic" w:eastAsiaTheme="minorHAnsi"/>
          <w:sz w:val="22"/>
          <w:szCs w:val="22"/>
          <w:lang w:eastAsia="en-US"/>
        </w:rPr>
        <w:t xml:space="preserve"> euro/00)</w:t>
      </w:r>
      <w:r w:rsidRPr="005F1989">
        <w:rPr>
          <w:rFonts w:ascii="Century Gothic" w:hAnsi="Century Gothic" w:eastAsiaTheme="minorHAnsi"/>
          <w:b/>
          <w:bCs/>
          <w:sz w:val="22"/>
          <w:szCs w:val="22"/>
          <w:lang w:eastAsia="en-US"/>
        </w:rPr>
        <w:t>.</w:t>
      </w:r>
    </w:p>
    <w:p w:rsidRPr="005F1989" w:rsidR="005F1989" w:rsidP="005F1989" w:rsidRDefault="005F1989" w14:paraId="10757478"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xml:space="preserve">5. Esso disciplina e regola i comportamenti degli operatori economici e di tutti i soggetti impiegati a qualunque titolo dai medesimi operatori nell’ambito delle procedure di gara indette dall’Amministrazione, cui partecipano, e nella fase di esecuzione del contratto eventualmente a loro affidato in esito alle già menzionate procedure di gara. </w:t>
      </w:r>
    </w:p>
    <w:p w:rsidRPr="005F1989" w:rsidR="005F1989" w:rsidP="005F1989" w:rsidRDefault="005F1989" w14:paraId="0501CBE1"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bCs/>
          <w:sz w:val="22"/>
          <w:szCs w:val="22"/>
          <w:lang w:eastAsia="en-US"/>
        </w:rPr>
        <w:t>6</w:t>
      </w:r>
      <w:r w:rsidRPr="005F1989">
        <w:rPr>
          <w:rFonts w:ascii="Century Gothic" w:hAnsi="Century Gothic" w:eastAsiaTheme="minorHAnsi"/>
          <w:b/>
          <w:bCs/>
          <w:sz w:val="22"/>
          <w:szCs w:val="22"/>
          <w:lang w:eastAsia="en-US"/>
        </w:rPr>
        <w:t xml:space="preserve">. </w:t>
      </w:r>
      <w:r w:rsidRPr="005F1989">
        <w:rPr>
          <w:rFonts w:ascii="Century Gothic" w:hAnsi="Century Gothic" w:eastAsiaTheme="minorHAnsi"/>
          <w:sz w:val="22"/>
          <w:szCs w:val="22"/>
          <w:lang w:eastAsia="en-US"/>
        </w:rPr>
        <w:t>Il Patto di integrità, altresì, regola i comportamenti di ogni soggetto dell’Amministrazione impiegato – sotto qualunque forma di rapporto contrattuale previsto dalla vigente normativa – nell’ambito delle procedure di gara, nonché nella fase di esecuzione del conseguente contratto. I medesimi soggetti sono, altresì, a conoscenza del contenuto del presente Patto d’Integrità, il cui spirito condividono pienamente, nonché delle sanzioni previste a loro carico in caso di mancato rispetto dello stesso.</w:t>
      </w:r>
    </w:p>
    <w:p w:rsidRPr="005F1989" w:rsidR="005F1989" w:rsidP="005F1989" w:rsidRDefault="005F1989" w14:paraId="30F737A1" w14:textId="77777777">
      <w:pPr>
        <w:spacing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xml:space="preserve">7. Il Patto, sottoscritto per accettazione dal legale rappresentante e dall’eventuale Direttore/i Tecnico/i dell’Operatore Economico, deve essere allegato alla documentazione di gara nell’ambito di qualsiasi procedura di affidamento e gestione degli appalti di forniture, servizi e lavori esperita dall’Amministrazione – ivi incluse le ipotesi di affidamento diretto – costituendo, altresì, parte integrante del conseguente contratto. </w:t>
      </w:r>
    </w:p>
    <w:p w:rsidRPr="005F1989" w:rsidR="005F1989" w:rsidP="005F1989" w:rsidRDefault="005F1989" w14:paraId="171DDA81" w14:textId="77777777">
      <w:pPr>
        <w:spacing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xml:space="preserve">Nel caso di Consorzi o Raggruppamenti Temporanei di Imprese, il Patto va sottoscritto dal legale rappresentante del Consorzio nonché di ciascuna delle Imprese consorziate o raggruppate e dagli eventuali Direttori Tecnici. </w:t>
      </w:r>
    </w:p>
    <w:p w:rsidRPr="005F1989" w:rsidR="005F1989" w:rsidP="005F1989" w:rsidRDefault="005F1989" w14:paraId="6F54577C" w14:textId="77777777">
      <w:pPr>
        <w:spacing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Nel caso di ricorso all’avvalimento, il Patto va sottoscritto anche dal legale rappresentante dell’ausiliaria e dall’eventuale Direttore Tecnico.</w:t>
      </w:r>
    </w:p>
    <w:p w:rsidRPr="005F1989" w:rsidR="005F1989" w:rsidP="005F1989" w:rsidRDefault="005F1989" w14:paraId="11AD1AF9"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Nel caso di subappalto – laddove consentito – il Patto va sottoscritto anche dal legale rappresentante del soggetto affidatario del subappalto medesimo, e dall’eventuale Direttore Tecnico.</w:t>
      </w:r>
    </w:p>
    <w:p w:rsidRPr="005F1989" w:rsidR="005F1989" w:rsidP="005F1989" w:rsidRDefault="005F1989" w14:paraId="38F07DBA"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8. La presentazione del Patto, sottoscritto per accettazione incondizionata delle relative prescrizioni, costituisce per l’Operatore Economico condizione essenziale per l’ammissione alla procedura di gara, pena l’esclusione dalla medesima. La carenza della dichiarazione di accettazione del Patto di integrità o la mancata produzione dello stesso debitamente sottoscritto dal concorrente, sono regolarizzabili attraverso la procedura di soccorso istruttorio di cui all’art. 101 del Codice dei Contratti pubblici.</w:t>
      </w:r>
    </w:p>
    <w:p w:rsidRPr="005F1989" w:rsidR="005F1989" w:rsidP="005F1989" w:rsidRDefault="005F1989" w14:paraId="7D14160B" w14:textId="77777777">
      <w:pPr>
        <w:spacing w:line="259" w:lineRule="auto"/>
        <w:jc w:val="center"/>
        <w:rPr>
          <w:rFonts w:ascii="Century Gothic" w:hAnsi="Century Gothic" w:eastAsiaTheme="minorHAnsi"/>
          <w:b/>
          <w:sz w:val="22"/>
          <w:szCs w:val="22"/>
          <w:lang w:eastAsia="en-US"/>
        </w:rPr>
      </w:pPr>
    </w:p>
    <w:p w:rsidRPr="005F1989" w:rsidR="005F1989" w:rsidP="005F1989" w:rsidRDefault="005F1989" w14:paraId="069E9D29" w14:textId="77777777">
      <w:pPr>
        <w:spacing w:line="259" w:lineRule="auto"/>
        <w:jc w:val="center"/>
        <w:rPr>
          <w:rFonts w:ascii="Century Gothic" w:hAnsi="Century Gothic" w:eastAsiaTheme="minorHAnsi"/>
          <w:b/>
          <w:sz w:val="22"/>
          <w:szCs w:val="22"/>
          <w:lang w:eastAsia="en-US"/>
        </w:rPr>
      </w:pPr>
      <w:r w:rsidRPr="005F1989">
        <w:rPr>
          <w:rFonts w:ascii="Century Gothic" w:hAnsi="Century Gothic" w:eastAsiaTheme="minorHAnsi"/>
          <w:b/>
          <w:sz w:val="22"/>
          <w:szCs w:val="22"/>
          <w:lang w:eastAsia="en-US"/>
        </w:rPr>
        <w:t>Articolo 2</w:t>
      </w:r>
    </w:p>
    <w:p w:rsidRPr="005F1989" w:rsidR="005F1989" w:rsidP="005F1989" w:rsidRDefault="005F1989" w14:paraId="0DFFD66F" w14:textId="77777777">
      <w:pPr>
        <w:spacing w:after="160" w:line="259" w:lineRule="auto"/>
        <w:jc w:val="center"/>
        <w:rPr>
          <w:rFonts w:ascii="Century Gothic" w:hAnsi="Century Gothic" w:eastAsiaTheme="minorHAnsi"/>
          <w:b/>
          <w:sz w:val="22"/>
          <w:szCs w:val="22"/>
          <w:lang w:eastAsia="en-US"/>
        </w:rPr>
      </w:pPr>
      <w:r w:rsidRPr="005F1989">
        <w:rPr>
          <w:rFonts w:ascii="Century Gothic" w:hAnsi="Century Gothic" w:eastAsiaTheme="minorHAnsi"/>
          <w:b/>
          <w:sz w:val="22"/>
          <w:szCs w:val="22"/>
          <w:lang w:eastAsia="en-US"/>
        </w:rPr>
        <w:t>(Obblighi dell’Operatore Economico)</w:t>
      </w:r>
    </w:p>
    <w:p w:rsidRPr="005F1989" w:rsidR="005F1989" w:rsidP="005F1989" w:rsidRDefault="005F1989" w14:paraId="2AD21E11"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1. L’Operatore Economico conforma la propria condotta ai principi di lealtà, trasparenza e correttezza.</w:t>
      </w:r>
    </w:p>
    <w:p w:rsidRPr="005F1989" w:rsidR="005F1989" w:rsidP="005F1989" w:rsidRDefault="005F1989" w14:paraId="59D83F6D"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2. L’Operatore Economico si obbliga a non offrire somme di denaro, utilità, vantaggi, benefici o qualsiasi altra ricompensa, sia direttamente che indirettamente tramite intermediari, al personale dell’Amministrazione, ovvero a terzi, ai fini dell’aggiudicazione della gara o di distorcerne il corretto svolgimento, nonché ai fini dell’assegnazione del contratto o di distorcerne la corretta e regolare esecuzione.</w:t>
      </w:r>
    </w:p>
    <w:p w:rsidRPr="005F1989" w:rsidR="005F1989" w:rsidP="005F1989" w:rsidRDefault="005F1989" w14:paraId="58061CDA"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3. L’Operatore Economico, salvi ed impregiudicati gli obblighi legali di denuncia alla competente Autorità Giudiziaria, si impegna:</w:t>
      </w:r>
    </w:p>
    <w:p w:rsidRPr="005F1989" w:rsidR="005F1989" w:rsidP="005F1989" w:rsidRDefault="005F1989" w14:paraId="7D8DB261" w14:textId="77777777">
      <w:pPr>
        <w:spacing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a) a segnalare all’Amministrazione qualsiasi illecito tentativo di turbativa, irregolarità o distorsione durante le fasi di svolgimento della procedura di affidamento o durante l’esecuzione del contratto da parte di ogni interessato o addetto o di chiunque possa influenzare le decisioni relative alla procedura, comprese illecite richieste o pretese dei dipendenti dell’Amministrazione stessa;</w:t>
      </w:r>
    </w:p>
    <w:p w:rsidRPr="005F1989" w:rsidR="005F1989" w:rsidP="005F1989" w:rsidRDefault="005F1989" w14:paraId="4001359D" w14:textId="77777777">
      <w:pPr>
        <w:spacing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b) a segnalare all’Amministrazione qualsiasi illecita richiesta o pretesa da parte di dipendenti dell’Amministrazione stessa o di chiunque possa influenzare le decisioni relative alla procedura di affidamento o all’esecuzione del contratto;</w:t>
      </w:r>
    </w:p>
    <w:p w:rsidRPr="005F1989" w:rsidR="005F1989" w:rsidP="005F1989" w:rsidRDefault="005F1989" w14:paraId="0972A3FA" w14:textId="77777777">
      <w:pPr>
        <w:spacing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c) qualora i fatti di cui ai precedenti punti a) e b) ne costituiscano il presupposto, a sporgere denuncia alle Autorità competenti e di segnalare il fatto all’ANAC, denunciando, in particolare, ogni tentativo di corruzione, estorsione, intimidazione, o condizionamento di natura criminale (richieste di tangenti, pressioni per indirizzare l’assunzione di personale o l’affidamento di subappalti a determinate imprese, danneggiamenti e/o furti di beni personali o in cantiere, etc.);</w:t>
      </w:r>
    </w:p>
    <w:p w:rsidRPr="005F1989" w:rsidR="005F1989" w:rsidP="005F1989" w:rsidRDefault="005F1989" w14:paraId="0E095C6E" w14:textId="77777777">
      <w:pPr>
        <w:spacing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xml:space="preserve">d) a non conferire incarichi o stipulare contratti con i soggetti di cui all’art. 53, comma 16-ter, del D. </w:t>
      </w:r>
      <w:proofErr w:type="spellStart"/>
      <w:r w:rsidRPr="005F1989">
        <w:rPr>
          <w:rFonts w:ascii="Century Gothic" w:hAnsi="Century Gothic" w:eastAsiaTheme="minorHAnsi"/>
          <w:sz w:val="22"/>
          <w:szCs w:val="22"/>
          <w:lang w:eastAsia="en-US"/>
        </w:rPr>
        <w:t>Lgs</w:t>
      </w:r>
      <w:proofErr w:type="spellEnd"/>
      <w:r w:rsidRPr="005F1989">
        <w:rPr>
          <w:rFonts w:ascii="Century Gothic" w:hAnsi="Century Gothic" w:eastAsiaTheme="minorHAnsi"/>
          <w:sz w:val="22"/>
          <w:szCs w:val="22"/>
          <w:lang w:eastAsia="en-US"/>
        </w:rPr>
        <w:t xml:space="preserve">. n.  165/2001 e </w:t>
      </w:r>
      <w:proofErr w:type="spellStart"/>
      <w:r w:rsidRPr="005F1989">
        <w:rPr>
          <w:rFonts w:ascii="Century Gothic" w:hAnsi="Century Gothic" w:eastAsiaTheme="minorHAnsi"/>
          <w:sz w:val="22"/>
          <w:szCs w:val="22"/>
          <w:lang w:eastAsia="en-US"/>
        </w:rPr>
        <w:t>s.m.i.</w:t>
      </w:r>
      <w:proofErr w:type="spellEnd"/>
    </w:p>
    <w:p w:rsidRPr="005F1989" w:rsidR="005F1989" w:rsidP="005F1989" w:rsidRDefault="005F1989" w14:paraId="182B9AB1"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xml:space="preserve">Agli stessi obblighi è tenuto anche l’aggiudicatario della gara nella fase dell’esecuzione del contratto, nonché tutti gli eventuali subcontraenti della stessa. A tal fine la clausola che </w:t>
      </w:r>
      <w:r w:rsidRPr="005F1989">
        <w:rPr>
          <w:rFonts w:ascii="Century Gothic" w:hAnsi="Century Gothic" w:eastAsiaTheme="minorHAnsi"/>
          <w:sz w:val="22"/>
          <w:szCs w:val="22"/>
          <w:lang w:eastAsia="en-US"/>
        </w:rPr>
        <w:t>prevede il rispetto degli obblighi di cui al presente Patto di integrità, sarà inserita nei contratti stipulati dall’Operatore economico con i propri subcontraenti.</w:t>
      </w:r>
    </w:p>
    <w:p w:rsidRPr="005F1989" w:rsidR="005F1989" w:rsidP="005F1989" w:rsidRDefault="005F1989" w14:paraId="5BDA2AA7"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4. Il legale rappresentante dell’Operatore Economico informa prontamente e puntualmente tutto il personale di cui si avvale (dipendenti, consulenti, collaboratori e/o subappaltatori) circa il presente Patto di integrità e gli obblighi in esso contenuti e vigila scrupolosamente sulla loro osservanza.</w:t>
      </w:r>
    </w:p>
    <w:p w:rsidRPr="005F1989" w:rsidR="005F1989" w:rsidP="005F1989" w:rsidRDefault="005F1989" w14:paraId="5BA324E7"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5. Il legale rappresentante dell’Operatore Economico segnala eventuali situazioni di conflitto di interesse, di cui sia a conoscenza, rispetto al personale dell’Amministrazione.</w:t>
      </w:r>
    </w:p>
    <w:p w:rsidRPr="005F1989" w:rsidR="005F1989" w:rsidP="005F1989" w:rsidRDefault="005F1989" w14:paraId="1CCBA2C3"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6. Il legale rappresentante dell’Operatore Economico dichiara:</w:t>
      </w:r>
    </w:p>
    <w:p w:rsidRPr="005F1989" w:rsidR="005F1989" w:rsidP="005F1989" w:rsidRDefault="005F1989" w14:paraId="4B2FDB72" w14:textId="77777777">
      <w:pPr>
        <w:spacing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xml:space="preserve">- di non avere influenzato il procedimento amministrativo diretto a stabilire il contenuto del bando o di altro atto equipollente al fine di condizionare le modalità di scelta del contraente da parte dell’Amministrazione; </w:t>
      </w:r>
    </w:p>
    <w:p w:rsidRPr="005F1989" w:rsidR="005F1989" w:rsidP="005F1989" w:rsidRDefault="005F1989" w14:paraId="06027EA2" w14:textId="77777777">
      <w:pPr>
        <w:spacing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di non trovarsi in situazioni di controllo o di collegamento (formale e/o sostanziale) con altri concorrenti, tali da comportare l’imputazione delle relative offerte ad un unico centro decisionale, e che non si è accordato e non si accorderà con altri partecipanti alla gara per limitare o eludere in alcun modo la libera concorrenza;</w:t>
      </w:r>
    </w:p>
    <w:p w:rsidRPr="005F1989" w:rsidR="005F1989" w:rsidP="005F1989" w:rsidRDefault="005F1989" w14:paraId="28C0B4A4" w14:textId="77777777">
      <w:pPr>
        <w:spacing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di non trovarsi in altre situazioni ritenute incompatibili con la partecipazione alle gare dal Codice dei Contratti pubblici, dal Codice civile ovvero dalle altre disposizioni normative vigenti;</w:t>
      </w:r>
    </w:p>
    <w:p w:rsidRPr="005F1989" w:rsidR="005F1989" w:rsidP="005F1989" w:rsidRDefault="005F1989" w14:paraId="03DEBC5E" w14:textId="77777777">
      <w:pPr>
        <w:spacing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xml:space="preserve">- di non aver conferito incarichi ai soggetti di cui all’art. 53, comma 16-ter, del D. </w:t>
      </w:r>
      <w:proofErr w:type="spellStart"/>
      <w:r w:rsidRPr="005F1989">
        <w:rPr>
          <w:rFonts w:ascii="Century Gothic" w:hAnsi="Century Gothic" w:eastAsiaTheme="minorHAnsi"/>
          <w:sz w:val="22"/>
          <w:szCs w:val="22"/>
          <w:lang w:eastAsia="en-US"/>
        </w:rPr>
        <w:t>Lgs</w:t>
      </w:r>
      <w:proofErr w:type="spellEnd"/>
      <w:r w:rsidRPr="005F1989">
        <w:rPr>
          <w:rFonts w:ascii="Century Gothic" w:hAnsi="Century Gothic" w:eastAsiaTheme="minorHAnsi"/>
          <w:sz w:val="22"/>
          <w:szCs w:val="22"/>
          <w:lang w:eastAsia="en-US"/>
        </w:rPr>
        <w:t xml:space="preserve">. n. 165/2001 e </w:t>
      </w:r>
      <w:proofErr w:type="spellStart"/>
      <w:r w:rsidRPr="005F1989">
        <w:rPr>
          <w:rFonts w:ascii="Century Gothic" w:hAnsi="Century Gothic" w:eastAsiaTheme="minorHAnsi"/>
          <w:sz w:val="22"/>
          <w:szCs w:val="22"/>
          <w:lang w:eastAsia="en-US"/>
        </w:rPr>
        <w:t>s.m.i.</w:t>
      </w:r>
      <w:proofErr w:type="spellEnd"/>
      <w:r w:rsidRPr="005F1989">
        <w:rPr>
          <w:rFonts w:ascii="Century Gothic" w:hAnsi="Century Gothic" w:eastAsiaTheme="minorHAnsi"/>
          <w:sz w:val="22"/>
          <w:szCs w:val="22"/>
          <w:lang w:eastAsia="en-US"/>
        </w:rPr>
        <w:t>, o di non aver stipulato contratti con i medesimi soggetti;</w:t>
      </w:r>
    </w:p>
    <w:p w:rsidRPr="005F1989" w:rsidR="005F1989" w:rsidP="005F1989" w:rsidRDefault="005F1989" w14:paraId="12ED0BE3" w14:textId="77777777">
      <w:pPr>
        <w:spacing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xml:space="preserve">- di essere consapevole che, qualora venga accertata la violazione del suddetto divieto di cui all’art. 53, comma 16-ter, del D. </w:t>
      </w:r>
      <w:proofErr w:type="spellStart"/>
      <w:r w:rsidRPr="005F1989">
        <w:rPr>
          <w:rFonts w:ascii="Century Gothic" w:hAnsi="Century Gothic" w:eastAsiaTheme="minorHAnsi"/>
          <w:sz w:val="22"/>
          <w:szCs w:val="22"/>
          <w:lang w:eastAsia="en-US"/>
        </w:rPr>
        <w:t>Lgs</w:t>
      </w:r>
      <w:proofErr w:type="spellEnd"/>
      <w:r w:rsidRPr="005F1989">
        <w:rPr>
          <w:rFonts w:ascii="Century Gothic" w:hAnsi="Century Gothic" w:eastAsiaTheme="minorHAnsi"/>
          <w:sz w:val="22"/>
          <w:szCs w:val="22"/>
          <w:lang w:eastAsia="en-US"/>
        </w:rPr>
        <w:t>. n. 165/2001 verrà disposta l’immediata esclusione dalla partecipazione alla procedura d’affidamento;</w:t>
      </w:r>
    </w:p>
    <w:p w:rsidRPr="005F1989" w:rsidR="005F1989" w:rsidP="005F1989" w:rsidRDefault="005F1989" w14:paraId="2AEDBD9C"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di impegnarsi a rendere noti, su richiesta dell’Amministrazione, tutti i pagamenti eseguiti e riguardanti il contratto eventualmente assegnatogli a seguito della procedura di affidamento.</w:t>
      </w:r>
    </w:p>
    <w:p w:rsidRPr="005F1989" w:rsidR="005F1989" w:rsidP="005F1989" w:rsidRDefault="005F1989" w14:paraId="7D8FE1B6" w14:textId="77777777">
      <w:pPr>
        <w:spacing w:line="259" w:lineRule="auto"/>
        <w:jc w:val="center"/>
        <w:rPr>
          <w:rFonts w:ascii="Century Gothic" w:hAnsi="Century Gothic" w:eastAsiaTheme="minorHAnsi"/>
          <w:b/>
          <w:sz w:val="22"/>
          <w:szCs w:val="22"/>
          <w:lang w:eastAsia="en-US"/>
        </w:rPr>
      </w:pPr>
      <w:r w:rsidRPr="005F1989">
        <w:rPr>
          <w:rFonts w:ascii="Century Gothic" w:hAnsi="Century Gothic" w:eastAsiaTheme="minorHAnsi"/>
          <w:b/>
          <w:sz w:val="22"/>
          <w:szCs w:val="22"/>
          <w:lang w:eastAsia="en-US"/>
        </w:rPr>
        <w:t>Articolo 3</w:t>
      </w:r>
    </w:p>
    <w:p w:rsidRPr="005F1989" w:rsidR="005F1989" w:rsidP="005F1989" w:rsidRDefault="005F1989" w14:paraId="13D2ED5E" w14:textId="77777777">
      <w:pPr>
        <w:spacing w:after="160" w:line="259" w:lineRule="auto"/>
        <w:jc w:val="center"/>
        <w:rPr>
          <w:rFonts w:ascii="Century Gothic" w:hAnsi="Century Gothic" w:eastAsiaTheme="minorHAnsi"/>
          <w:b/>
          <w:sz w:val="22"/>
          <w:szCs w:val="22"/>
          <w:lang w:eastAsia="en-US"/>
        </w:rPr>
      </w:pPr>
      <w:r w:rsidRPr="005F1989">
        <w:rPr>
          <w:rFonts w:ascii="Century Gothic" w:hAnsi="Century Gothic" w:eastAsiaTheme="minorHAnsi"/>
          <w:b/>
          <w:sz w:val="22"/>
          <w:szCs w:val="22"/>
          <w:lang w:eastAsia="en-US"/>
        </w:rPr>
        <w:t>(Obblighi dell’Amministrazione)</w:t>
      </w:r>
    </w:p>
    <w:p w:rsidRPr="005F1989" w:rsidR="005F1989" w:rsidP="005F1989" w:rsidRDefault="005F1989" w14:paraId="1DE8F881" w14:textId="77777777">
      <w:pPr>
        <w:spacing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xml:space="preserve">1. L’Amministrazione conforma la propria condotta ai principi di lealtà, trasparenza e correttezza. </w:t>
      </w:r>
    </w:p>
    <w:p w:rsidRPr="005F1989" w:rsidR="005F1989" w:rsidP="005F1989" w:rsidRDefault="005F1989" w14:paraId="0D924009"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In particolare, essa assume l’espresso impegno anticorruzione di non offrire, accettare o richiedere somme di denaro o qualsiasi altra ricompensa, vantaggio o beneficio, sia direttamente che indirettamente tramite intermediari, al fine dell'assegnazione del contratto e/o al fine di distorcerne la relativa corretta esecuzione.</w:t>
      </w:r>
    </w:p>
    <w:p w:rsidRPr="005F1989" w:rsidR="005F1989" w:rsidP="005F1989" w:rsidRDefault="005F1989" w14:paraId="3EAF6493"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2. 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rsidRPr="005F1989" w:rsidR="005F1989" w:rsidP="005F1989" w:rsidRDefault="005F1989" w14:paraId="69B223EE"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3. L’Amministrazione attiverà le procedure di legge nei confronti del personale che non conformi il proprio operato ai principi richiamati al comma primo del presente articolo</w:t>
      </w:r>
      <w:r w:rsidRPr="005F1989">
        <w:rPr>
          <w:rFonts w:ascii="Century Gothic" w:hAnsi="Century Gothic" w:eastAsiaTheme="minorHAnsi"/>
          <w:b/>
          <w:bCs/>
          <w:sz w:val="22"/>
          <w:szCs w:val="22"/>
          <w:lang w:eastAsia="en-US"/>
        </w:rPr>
        <w:t xml:space="preserve">, </w:t>
      </w:r>
      <w:r w:rsidRPr="005F1989">
        <w:rPr>
          <w:rFonts w:ascii="Century Gothic" w:hAnsi="Century Gothic" w:eastAsiaTheme="minorHAnsi"/>
          <w:sz w:val="22"/>
          <w:szCs w:val="22"/>
          <w:lang w:eastAsia="en-US"/>
        </w:rPr>
        <w:t>alle disposizioni contenute nel codice di comportamento dei dipendenti pubblici di cui al D.P.R. 16 aprile 2013, n.62, nonché a quelle prescritte nel Codice di comportamento dei dipendenti dell’Amministrazione.</w:t>
      </w:r>
    </w:p>
    <w:p w:rsidRPr="005F1989" w:rsidR="005F1989" w:rsidP="005F1989" w:rsidRDefault="005F1989" w14:paraId="72195B11"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4. L’Amministrazione aprirà un procedimento istruttorio per la verifica di ogni eventuale segnalazione ricevuta in merito a condotte anomale attuate dal proprio personale in relazione al procedimento di gara ed alle fasi di esecuzione del contratto.</w:t>
      </w:r>
    </w:p>
    <w:p w:rsidRPr="005F1989" w:rsidR="005F1989" w:rsidP="005F1989" w:rsidRDefault="005F1989" w14:paraId="51C793CF"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5. L’Amministrazione formalizza l’accertamento delle violazioni del presente Patto di integrità, nel rispetto del principio del contraddittorio.</w:t>
      </w:r>
    </w:p>
    <w:p w:rsidRPr="005F1989" w:rsidR="005F1989" w:rsidP="005F1989" w:rsidRDefault="005F1989" w14:paraId="707E571F" w14:textId="77777777">
      <w:pPr>
        <w:spacing w:line="259" w:lineRule="auto"/>
        <w:jc w:val="center"/>
        <w:rPr>
          <w:rFonts w:ascii="Century Gothic" w:hAnsi="Century Gothic" w:eastAsiaTheme="minorHAnsi"/>
          <w:b/>
          <w:sz w:val="22"/>
          <w:szCs w:val="22"/>
          <w:lang w:eastAsia="en-US"/>
        </w:rPr>
      </w:pPr>
      <w:r w:rsidRPr="005F1989">
        <w:rPr>
          <w:rFonts w:ascii="Century Gothic" w:hAnsi="Century Gothic" w:eastAsiaTheme="minorHAnsi"/>
          <w:b/>
          <w:sz w:val="22"/>
          <w:szCs w:val="22"/>
          <w:lang w:eastAsia="en-US"/>
        </w:rPr>
        <w:t>Articolo 4</w:t>
      </w:r>
    </w:p>
    <w:p w:rsidRPr="005F1989" w:rsidR="005F1989" w:rsidP="005F1989" w:rsidRDefault="005F1989" w14:paraId="39E121D2" w14:textId="77777777">
      <w:pPr>
        <w:spacing w:after="160" w:line="259" w:lineRule="auto"/>
        <w:jc w:val="center"/>
        <w:rPr>
          <w:rFonts w:ascii="Century Gothic" w:hAnsi="Century Gothic" w:eastAsiaTheme="minorHAnsi"/>
          <w:b/>
          <w:sz w:val="22"/>
          <w:szCs w:val="22"/>
          <w:lang w:eastAsia="en-US"/>
        </w:rPr>
      </w:pPr>
      <w:r w:rsidRPr="005F1989">
        <w:rPr>
          <w:rFonts w:ascii="Century Gothic" w:hAnsi="Century Gothic" w:eastAsiaTheme="minorHAnsi"/>
          <w:b/>
          <w:sz w:val="22"/>
          <w:szCs w:val="22"/>
          <w:lang w:eastAsia="en-US"/>
        </w:rPr>
        <w:t xml:space="preserve">(Violazione degli obblighi assunti con il Patto di integrità) </w:t>
      </w:r>
    </w:p>
    <w:p w:rsidRPr="005F1989" w:rsidR="005F1989" w:rsidP="005F1989" w:rsidRDefault="005F1989" w14:paraId="0CDB3BF3"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xml:space="preserve">1. La violazione degli obblighi di cui al precedente art. 2 è dichiarata all’esito di un procedimento di verifica nel corso del quale verrà garantito adeguato contraddittorio con l’Operatore economico coinvolto nel procedimento. </w:t>
      </w:r>
    </w:p>
    <w:p w:rsidRPr="005F1989" w:rsidR="005F1989" w:rsidP="005F1989" w:rsidRDefault="005F1989" w14:paraId="519797C4"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bCs/>
          <w:sz w:val="22"/>
          <w:szCs w:val="22"/>
          <w:lang w:eastAsia="en-US"/>
        </w:rPr>
        <w:t>2</w:t>
      </w:r>
      <w:r w:rsidRPr="005F1989">
        <w:rPr>
          <w:rFonts w:ascii="Century Gothic" w:hAnsi="Century Gothic" w:eastAsiaTheme="minorHAnsi"/>
          <w:b/>
          <w:bCs/>
          <w:sz w:val="22"/>
          <w:szCs w:val="22"/>
          <w:lang w:eastAsia="en-US"/>
        </w:rPr>
        <w:t xml:space="preserve">. </w:t>
      </w:r>
      <w:r w:rsidRPr="005F1989">
        <w:rPr>
          <w:rFonts w:ascii="Century Gothic" w:hAnsi="Century Gothic" w:eastAsiaTheme="minorHAnsi"/>
          <w:sz w:val="22"/>
          <w:szCs w:val="22"/>
          <w:lang w:eastAsia="en-US"/>
        </w:rPr>
        <w:t>Nel caso di accertata violazione da parte dell’Operatore economico, sia in veste di concorrente che di aggiudicatario, di uno degli impegni assunti di cui al precedente art. 2, saranno applicate anche in via cumulativa e fatte salve specifiche ulteriori previsioni di legge, una o più delle seguenti sanzioni:</w:t>
      </w:r>
    </w:p>
    <w:p w:rsidRPr="005F1989" w:rsidR="005F1989" w:rsidP="005F1989" w:rsidRDefault="005F1989" w14:paraId="3FA626C6"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esclusione dalla procedura di affidamento ed escussione della cauzione, se la violazione è accertata nella fase precedente all’aggiudicazione dell’appalto;</w:t>
      </w:r>
    </w:p>
    <w:p w:rsidRPr="005F1989" w:rsidR="005F1989" w:rsidP="005F1989" w:rsidRDefault="005F1989" w14:paraId="642A5B56"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revoca dell’aggiudicazione ed escussione della cauzione se la violazione è accertata nella fase successiva all’aggiudicazione dell’appalto, ma precedente alla stipula del contratto;</w:t>
      </w:r>
    </w:p>
    <w:p w:rsidRPr="005F1989" w:rsidR="005F1989" w:rsidP="005F1989" w:rsidRDefault="005F1989" w14:paraId="47FED12D"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risoluzione del contratto, ai sensi e per gli effetti dell’art. 1456 del Codice civile, ed escussione della cauzione definitiva, se la violazione è accertata nella fase di esecuzione dell’appalto;</w:t>
      </w:r>
    </w:p>
    <w:p w:rsidRPr="005F1989" w:rsidR="005F1989" w:rsidP="005F1989" w:rsidRDefault="005F1989" w14:paraId="15AB8A82"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 segnalazione del fatto all’ANAC ed alle competenti Autorità.</w:t>
      </w:r>
    </w:p>
    <w:p w:rsidRPr="005F1989" w:rsidR="005F1989" w:rsidP="005F1989" w:rsidRDefault="005F1989" w14:paraId="70ED6AED"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3. Resta ferma la facoltà per l’Amministrazione di non avvalersi della risoluzione del contratto qualora lo ritenga pregiudizievole agli interessi pubblici sottesi al contratto; sono fatti salvi, in ogni caso, l’eventuale diritto al risarcimento del danno e l’applicazione di eventuali penali.</w:t>
      </w:r>
    </w:p>
    <w:p w:rsidRPr="005F1989" w:rsidR="005F1989" w:rsidP="005F1989" w:rsidRDefault="005F1989" w14:paraId="5F2BEDCC"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4. In ogni caso, l’accertamento di una violazione degli obblighi assunti con il presente Patto di Integrità costituisce legittima causa di esclusione dell’Operatore Economico dalla partecipazione alle procedure di affidamento degli appalti di lavori, forniture e servizi bandite dall’Amministrazione per il successivo anno.</w:t>
      </w:r>
    </w:p>
    <w:p w:rsidRPr="005F1989" w:rsidR="005F1989" w:rsidP="005F1989" w:rsidRDefault="005F1989" w14:paraId="334E93EF" w14:textId="77777777">
      <w:pPr>
        <w:spacing w:line="259" w:lineRule="auto"/>
        <w:jc w:val="center"/>
        <w:rPr>
          <w:rFonts w:ascii="Century Gothic" w:hAnsi="Century Gothic" w:eastAsiaTheme="minorHAnsi"/>
          <w:b/>
          <w:sz w:val="22"/>
          <w:szCs w:val="22"/>
          <w:lang w:eastAsia="en-US"/>
        </w:rPr>
      </w:pPr>
      <w:r w:rsidRPr="005F1989">
        <w:rPr>
          <w:rFonts w:ascii="Century Gothic" w:hAnsi="Century Gothic" w:eastAsiaTheme="minorHAnsi"/>
          <w:b/>
          <w:sz w:val="22"/>
          <w:szCs w:val="22"/>
          <w:lang w:eastAsia="en-US"/>
        </w:rPr>
        <w:t>Articolo 5</w:t>
      </w:r>
    </w:p>
    <w:p w:rsidRPr="005F1989" w:rsidR="005F1989" w:rsidP="005F1989" w:rsidRDefault="005F1989" w14:paraId="688E1615" w14:textId="77777777">
      <w:pPr>
        <w:spacing w:after="160" w:line="259" w:lineRule="auto"/>
        <w:jc w:val="center"/>
        <w:rPr>
          <w:rFonts w:ascii="Century Gothic" w:hAnsi="Century Gothic" w:eastAsiaTheme="minorHAnsi"/>
          <w:b/>
          <w:sz w:val="22"/>
          <w:szCs w:val="22"/>
          <w:lang w:eastAsia="en-US"/>
        </w:rPr>
      </w:pPr>
      <w:r w:rsidRPr="005F1989">
        <w:rPr>
          <w:rFonts w:ascii="Century Gothic" w:hAnsi="Century Gothic" w:eastAsiaTheme="minorHAnsi"/>
          <w:b/>
          <w:sz w:val="22"/>
          <w:szCs w:val="22"/>
          <w:lang w:eastAsia="en-US"/>
        </w:rPr>
        <w:t>(Efficacia del patto di integrità)</w:t>
      </w:r>
    </w:p>
    <w:p w:rsidRPr="005F1989" w:rsidR="005F1989" w:rsidP="005F1989" w:rsidRDefault="005F1989" w14:paraId="2DF210CD"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Il presente Patto di integrità e le relative sanzioni si applicano dall’avvio della procedura di affidamento sino alla completa esecuzione del contratto assegnato a seguito della procedura medesima.</w:t>
      </w:r>
    </w:p>
    <w:p w:rsidRPr="005F1989" w:rsidR="005F1989" w:rsidP="005F1989" w:rsidRDefault="005F1989" w14:paraId="3A7B54E6" w14:textId="77777777">
      <w:pPr>
        <w:spacing w:line="259" w:lineRule="auto"/>
        <w:jc w:val="center"/>
        <w:rPr>
          <w:rFonts w:ascii="Century Gothic" w:hAnsi="Century Gothic" w:eastAsiaTheme="minorHAnsi"/>
          <w:b/>
          <w:sz w:val="22"/>
          <w:szCs w:val="22"/>
          <w:lang w:eastAsia="en-US"/>
        </w:rPr>
      </w:pPr>
      <w:r w:rsidRPr="005F1989">
        <w:rPr>
          <w:rFonts w:ascii="Century Gothic" w:hAnsi="Century Gothic" w:eastAsiaTheme="minorHAnsi"/>
          <w:b/>
          <w:sz w:val="22"/>
          <w:szCs w:val="22"/>
          <w:lang w:eastAsia="en-US"/>
        </w:rPr>
        <w:t>Articolo 6</w:t>
      </w:r>
    </w:p>
    <w:p w:rsidRPr="005F1989" w:rsidR="005F1989" w:rsidP="005F1989" w:rsidRDefault="005F1989" w14:paraId="2874DFE3" w14:textId="77777777">
      <w:pPr>
        <w:spacing w:after="160" w:line="259" w:lineRule="auto"/>
        <w:jc w:val="center"/>
        <w:rPr>
          <w:rFonts w:ascii="Century Gothic" w:hAnsi="Century Gothic" w:eastAsiaTheme="minorHAnsi"/>
          <w:b/>
          <w:sz w:val="22"/>
          <w:szCs w:val="22"/>
          <w:lang w:eastAsia="en-US"/>
        </w:rPr>
      </w:pPr>
      <w:r w:rsidRPr="005F1989">
        <w:rPr>
          <w:rFonts w:ascii="Century Gothic" w:hAnsi="Century Gothic" w:eastAsiaTheme="minorHAnsi"/>
          <w:b/>
          <w:sz w:val="22"/>
          <w:szCs w:val="22"/>
          <w:lang w:eastAsia="en-US"/>
        </w:rPr>
        <w:t>(Controversie)</w:t>
      </w:r>
    </w:p>
    <w:p w:rsidRPr="005F1989" w:rsidR="005F1989" w:rsidP="005F1989" w:rsidRDefault="005F1989" w14:paraId="26BDC342"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Ogni controversia relativa all’interpretazione ed alla esecuzione del presente Patto di Integrità fra l’Amministrazione e gli Operatori Economici, ovvero tra gli stessi Operatori Economici sarà risolta, in via esclusiva, dal Foro di Bologna.</w:t>
      </w:r>
    </w:p>
    <w:p w:rsidRPr="005F1989" w:rsidR="005F1989" w:rsidP="005F1989" w:rsidRDefault="005F1989" w14:paraId="58F892DE" w14:textId="77777777">
      <w:pPr>
        <w:spacing w:after="160" w:line="259" w:lineRule="auto"/>
        <w:jc w:val="both"/>
        <w:rPr>
          <w:rFonts w:ascii="Century Gothic" w:hAnsi="Century Gothic" w:eastAsiaTheme="minorHAnsi"/>
          <w:sz w:val="22"/>
          <w:szCs w:val="22"/>
          <w:lang w:eastAsia="en-US"/>
        </w:rPr>
      </w:pPr>
      <w:r w:rsidRPr="005F1989">
        <w:rPr>
          <w:rFonts w:ascii="Century Gothic" w:hAnsi="Century Gothic" w:eastAsiaTheme="minorHAnsi"/>
          <w:sz w:val="22"/>
          <w:szCs w:val="22"/>
          <w:lang w:eastAsia="en-US"/>
        </w:rPr>
        <w:t>Data,</w:t>
      </w:r>
    </w:p>
    <w:tbl>
      <w:tblPr>
        <w:tblStyle w:val="Grigliatabel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4"/>
        <w:gridCol w:w="1843"/>
        <w:gridCol w:w="3821"/>
      </w:tblGrid>
      <w:tr w:rsidRPr="005F1989" w:rsidR="005F1989" w:rsidTr="00C64C46" w14:paraId="357004BC" w14:textId="77777777">
        <w:tc>
          <w:tcPr>
            <w:tcW w:w="3964" w:type="dxa"/>
          </w:tcPr>
          <w:p w:rsidRPr="005F1989" w:rsidR="005F1989" w:rsidP="005F1989" w:rsidRDefault="005F1989" w14:paraId="53272AF6" w14:textId="77777777">
            <w:pPr>
              <w:jc w:val="center"/>
              <w:rPr>
                <w:rFonts w:ascii="Century Gothic" w:hAnsi="Century Gothic"/>
                <w:sz w:val="22"/>
                <w:szCs w:val="22"/>
              </w:rPr>
            </w:pPr>
            <w:r w:rsidRPr="005F1989">
              <w:rPr>
                <w:rFonts w:ascii="Century Gothic" w:hAnsi="Century Gothic"/>
                <w:sz w:val="22"/>
                <w:szCs w:val="22"/>
              </w:rPr>
              <w:t>L’Amministrazione</w:t>
            </w:r>
          </w:p>
        </w:tc>
        <w:tc>
          <w:tcPr>
            <w:tcW w:w="1843" w:type="dxa"/>
          </w:tcPr>
          <w:p w:rsidRPr="005F1989" w:rsidR="005F1989" w:rsidP="005F1989" w:rsidRDefault="005F1989" w14:paraId="20A7F0D1" w14:textId="77777777">
            <w:pPr>
              <w:jc w:val="center"/>
              <w:rPr>
                <w:rFonts w:ascii="Century Gothic" w:hAnsi="Century Gothic"/>
                <w:sz w:val="22"/>
                <w:szCs w:val="22"/>
              </w:rPr>
            </w:pPr>
          </w:p>
        </w:tc>
        <w:tc>
          <w:tcPr>
            <w:tcW w:w="3821" w:type="dxa"/>
          </w:tcPr>
          <w:p w:rsidRPr="005F1989" w:rsidR="005F1989" w:rsidP="005F1989" w:rsidRDefault="005F1989" w14:paraId="65CE4669" w14:textId="77777777">
            <w:pPr>
              <w:jc w:val="center"/>
              <w:rPr>
                <w:rFonts w:ascii="Century Gothic" w:hAnsi="Century Gothic"/>
                <w:sz w:val="22"/>
                <w:szCs w:val="22"/>
              </w:rPr>
            </w:pPr>
            <w:r w:rsidRPr="005F1989">
              <w:rPr>
                <w:rFonts w:ascii="Century Gothic" w:hAnsi="Century Gothic"/>
                <w:sz w:val="22"/>
                <w:szCs w:val="22"/>
              </w:rPr>
              <w:t>L’Operatore Economico</w:t>
            </w:r>
          </w:p>
        </w:tc>
      </w:tr>
      <w:tr w:rsidRPr="005F1989" w:rsidR="005F1989" w:rsidTr="00C64C46" w14:paraId="322A5D20" w14:textId="77777777">
        <w:tc>
          <w:tcPr>
            <w:tcW w:w="3964" w:type="dxa"/>
          </w:tcPr>
          <w:p w:rsidRPr="005F1989" w:rsidR="005F1989" w:rsidP="005F1989" w:rsidRDefault="005F1989" w14:paraId="25726AED" w14:textId="77777777">
            <w:pPr>
              <w:jc w:val="both"/>
              <w:rPr>
                <w:rFonts w:ascii="Century Gothic" w:hAnsi="Century Gothic"/>
                <w:sz w:val="22"/>
                <w:szCs w:val="22"/>
              </w:rPr>
            </w:pPr>
          </w:p>
        </w:tc>
        <w:tc>
          <w:tcPr>
            <w:tcW w:w="1843" w:type="dxa"/>
          </w:tcPr>
          <w:p w:rsidRPr="005F1989" w:rsidR="005F1989" w:rsidP="005F1989" w:rsidRDefault="005F1989" w14:paraId="317CDCA4" w14:textId="77777777">
            <w:pPr>
              <w:jc w:val="both"/>
              <w:rPr>
                <w:rFonts w:ascii="Century Gothic" w:hAnsi="Century Gothic"/>
                <w:sz w:val="22"/>
                <w:szCs w:val="22"/>
              </w:rPr>
            </w:pPr>
          </w:p>
        </w:tc>
        <w:tc>
          <w:tcPr>
            <w:tcW w:w="3821" w:type="dxa"/>
          </w:tcPr>
          <w:p w:rsidRPr="005F1989" w:rsidR="005F1989" w:rsidP="005F1989" w:rsidRDefault="005F1989" w14:paraId="1E29518D" w14:textId="77777777">
            <w:pPr>
              <w:jc w:val="both"/>
              <w:rPr>
                <w:rFonts w:ascii="Century Gothic" w:hAnsi="Century Gothic"/>
                <w:sz w:val="22"/>
                <w:szCs w:val="22"/>
              </w:rPr>
            </w:pPr>
          </w:p>
        </w:tc>
      </w:tr>
      <w:tr w:rsidRPr="005F1989" w:rsidR="005F1989" w:rsidTr="00C64C46" w14:paraId="6716DFE3" w14:textId="77777777">
        <w:tc>
          <w:tcPr>
            <w:tcW w:w="3964" w:type="dxa"/>
          </w:tcPr>
          <w:p w:rsidRPr="005F1989" w:rsidR="005F1989" w:rsidP="005F1989" w:rsidRDefault="005F1989" w14:paraId="1E43525E" w14:textId="77777777">
            <w:pPr>
              <w:jc w:val="center"/>
              <w:rPr>
                <w:rFonts w:ascii="Century Gothic" w:hAnsi="Century Gothic"/>
                <w:sz w:val="22"/>
                <w:szCs w:val="22"/>
              </w:rPr>
            </w:pPr>
            <w:r w:rsidRPr="005F1989">
              <w:rPr>
                <w:rFonts w:ascii="Century Gothic" w:hAnsi="Century Gothic"/>
                <w:sz w:val="22"/>
                <w:szCs w:val="22"/>
              </w:rPr>
              <w:t>Il Presidente</w:t>
            </w:r>
          </w:p>
        </w:tc>
        <w:tc>
          <w:tcPr>
            <w:tcW w:w="1843" w:type="dxa"/>
          </w:tcPr>
          <w:p w:rsidRPr="005F1989" w:rsidR="005F1989" w:rsidP="005F1989" w:rsidRDefault="005F1989" w14:paraId="17BBAD67" w14:textId="77777777">
            <w:pPr>
              <w:jc w:val="center"/>
              <w:rPr>
                <w:rFonts w:ascii="Century Gothic" w:hAnsi="Century Gothic"/>
                <w:sz w:val="22"/>
                <w:szCs w:val="22"/>
              </w:rPr>
            </w:pPr>
          </w:p>
        </w:tc>
        <w:tc>
          <w:tcPr>
            <w:tcW w:w="3821" w:type="dxa"/>
          </w:tcPr>
          <w:p w:rsidRPr="005F1989" w:rsidR="005F1989" w:rsidP="005F1989" w:rsidRDefault="005F1989" w14:paraId="15F80650" w14:textId="77777777">
            <w:pPr>
              <w:jc w:val="center"/>
              <w:rPr>
                <w:rFonts w:ascii="Century Gothic" w:hAnsi="Century Gothic"/>
                <w:sz w:val="22"/>
                <w:szCs w:val="22"/>
              </w:rPr>
            </w:pPr>
            <w:r w:rsidRPr="005F1989">
              <w:rPr>
                <w:rFonts w:ascii="Century Gothic" w:hAnsi="Century Gothic"/>
                <w:sz w:val="22"/>
                <w:szCs w:val="22"/>
              </w:rPr>
              <w:t>Il Titolare/Legale rappresentante</w:t>
            </w:r>
          </w:p>
        </w:tc>
      </w:tr>
    </w:tbl>
    <w:p w:rsidRPr="005F1989" w:rsidR="005F1989" w:rsidP="005F1989" w:rsidRDefault="005F1989" w14:paraId="7397E379" w14:textId="77777777">
      <w:pPr>
        <w:spacing w:line="259" w:lineRule="auto"/>
        <w:ind w:left="708" w:firstLine="708"/>
        <w:jc w:val="both"/>
        <w:rPr>
          <w:rFonts w:ascii="Century Gothic" w:hAnsi="Century Gothic" w:eastAsiaTheme="minorHAnsi"/>
          <w:sz w:val="22"/>
          <w:szCs w:val="22"/>
          <w:lang w:eastAsia="en-US"/>
        </w:rPr>
      </w:pPr>
    </w:p>
    <w:p w:rsidRPr="00CA7C03" w:rsidR="003C6836" w:rsidP="003C39C5" w:rsidRDefault="003C6836" w14:paraId="4B35E5ED" w14:textId="4F055BE5">
      <w:pPr>
        <w:pStyle w:val="Default"/>
        <w:jc w:val="both"/>
        <w:rPr>
          <w:rFonts w:ascii="Source Sans Pro" w:hAnsi="Source Sans Pro" w:cstheme="minorHAnsi"/>
          <w:b/>
          <w:bCs/>
          <w:sz w:val="22"/>
          <w:szCs w:val="22"/>
        </w:rPr>
      </w:pPr>
      <w:bookmarkStart w:name="_GoBack" w:id="0"/>
      <w:bookmarkEnd w:id="0"/>
    </w:p>
    <w:sectPr w:rsidRPr="00CA7C03" w:rsidR="003C6836" w:rsidSect="003C39C5">
      <w:headerReference w:type="default" r:id="rId11"/>
      <w:footerReference w:type="default" r:id="rId12"/>
      <w:headerReference w:type="first" r:id="rId13"/>
      <w:footerReference w:type="first" r:id="rId14"/>
      <w:pgSz w:w="11906" w:h="16838" w:orient="portrait" w:code="9"/>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A3A" w:rsidRDefault="00520A3A" w14:paraId="5C585074" w14:textId="77777777">
      <w:r>
        <w:separator/>
      </w:r>
    </w:p>
  </w:endnote>
  <w:endnote w:type="continuationSeparator" w:id="0">
    <w:p w:rsidR="00520A3A" w:rsidRDefault="00520A3A" w14:paraId="58C0B2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altName w:val="Corbel"/>
    <w:panose1 w:val="020B0503030403020204"/>
    <w:charset w:val="00"/>
    <w:family w:val="swiss"/>
    <w:pitch w:val="variable"/>
    <w:sig w:usb0="600002F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8C" w:rsidP="008422C3" w:rsidRDefault="00A66B8C" w14:paraId="62841451" w14:textId="77777777">
    <w:pPr>
      <w:pStyle w:val="Pidipagina"/>
      <w:jc w:val="center"/>
      <w:rPr>
        <w:rFonts w:ascii="Source Sans Pro" w:hAnsi="Source Sans Pro" w:cstheme="minorHAnsi"/>
        <w:sz w:val="20"/>
        <w:szCs w:val="20"/>
      </w:rPr>
    </w:pPr>
  </w:p>
  <w:p w:rsidRPr="00092176" w:rsidR="008422C3" w:rsidP="008422C3" w:rsidRDefault="004217CE" w14:paraId="4F1B0642" w14:textId="053BA3FC">
    <w:pPr>
      <w:pStyle w:val="Pidipagina"/>
      <w:jc w:val="center"/>
      <w:rPr>
        <w:rFonts w:ascii="Source Sans Pro" w:hAnsi="Source Sans Pro" w:cstheme="minorHAnsi"/>
        <w:sz w:val="20"/>
        <w:szCs w:val="20"/>
      </w:rPr>
    </w:pPr>
    <w:r>
      <w:rPr>
        <w:rFonts w:ascii="Source Sans Pro" w:hAnsi="Source Sans Pro" w:cstheme="minorHAnsi"/>
        <w:noProof/>
        <w:sz w:val="20"/>
        <w:szCs w:val="20"/>
      </w:rPr>
      <w:t>CNR Area territoriale di Ricerca di Bologna</w:t>
    </w:r>
  </w:p>
  <w:p w:rsidR="008422C3" w:rsidP="008422C3" w:rsidRDefault="008422C3" w14:paraId="17D37889" w14:textId="59C93853">
    <w:pPr>
      <w:pStyle w:val="Pidipagina"/>
      <w:jc w:val="center"/>
      <w:rPr>
        <w:rFonts w:ascii="Source Sans Pro" w:hAnsi="Source Sans Pro" w:cstheme="minorHAnsi"/>
        <w:bCs/>
        <w:sz w:val="20"/>
        <w:szCs w:val="20"/>
      </w:rPr>
    </w:pPr>
    <w:r w:rsidRPr="00092176">
      <w:rPr>
        <w:rFonts w:ascii="Source Sans Pro" w:hAnsi="Source Sans Pro" w:cstheme="minorHAnsi"/>
        <w:bCs/>
        <w:sz w:val="20"/>
        <w:szCs w:val="20"/>
      </w:rPr>
      <w:t xml:space="preserve">Via </w:t>
    </w:r>
    <w:r>
      <w:rPr>
        <w:rFonts w:ascii="Source Sans Pro" w:hAnsi="Source Sans Pro" w:cstheme="minorHAnsi"/>
        <w:bCs/>
        <w:sz w:val="20"/>
        <w:szCs w:val="20"/>
      </w:rPr>
      <w:t>P.</w:t>
    </w:r>
    <w:r w:rsidR="00CA7C03">
      <w:rPr>
        <w:rFonts w:ascii="Source Sans Pro" w:hAnsi="Source Sans Pro" w:cstheme="minorHAnsi"/>
        <w:bCs/>
        <w:sz w:val="20"/>
        <w:szCs w:val="20"/>
      </w:rPr>
      <w:t xml:space="preserve"> </w:t>
    </w:r>
    <w:r>
      <w:rPr>
        <w:rFonts w:ascii="Source Sans Pro" w:hAnsi="Source Sans Pro" w:cstheme="minorHAnsi"/>
        <w:bCs/>
        <w:sz w:val="20"/>
        <w:szCs w:val="20"/>
      </w:rPr>
      <w:t>Gobetti</w:t>
    </w:r>
    <w:r w:rsidRPr="00092176">
      <w:rPr>
        <w:rFonts w:ascii="Source Sans Pro" w:hAnsi="Source Sans Pro" w:cstheme="minorHAnsi"/>
        <w:bCs/>
        <w:sz w:val="20"/>
        <w:szCs w:val="20"/>
      </w:rPr>
      <w:t xml:space="preserve"> n.</w:t>
    </w:r>
    <w:r>
      <w:rPr>
        <w:rFonts w:ascii="Source Sans Pro" w:hAnsi="Source Sans Pro" w:cstheme="minorHAnsi"/>
        <w:bCs/>
        <w:sz w:val="20"/>
        <w:szCs w:val="20"/>
      </w:rPr>
      <w:t>101</w:t>
    </w:r>
    <w:r w:rsidRPr="00092176">
      <w:rPr>
        <w:rFonts w:ascii="Source Sans Pro" w:hAnsi="Source Sans Pro" w:cstheme="minorHAnsi"/>
        <w:bCs/>
        <w:sz w:val="20"/>
        <w:szCs w:val="20"/>
      </w:rPr>
      <w:t xml:space="preserve"> </w:t>
    </w:r>
    <w:r>
      <w:rPr>
        <w:rFonts w:ascii="Source Sans Pro" w:hAnsi="Source Sans Pro" w:cstheme="minorHAnsi"/>
        <w:bCs/>
        <w:sz w:val="20"/>
        <w:szCs w:val="20"/>
      </w:rPr>
      <w:t>–</w:t>
    </w:r>
    <w:r w:rsidRPr="00092176">
      <w:rPr>
        <w:rFonts w:ascii="Source Sans Pro" w:hAnsi="Source Sans Pro" w:cstheme="minorHAnsi"/>
        <w:bCs/>
        <w:sz w:val="20"/>
        <w:szCs w:val="20"/>
      </w:rPr>
      <w:t xml:space="preserve"> </w:t>
    </w:r>
    <w:r>
      <w:rPr>
        <w:rFonts w:ascii="Source Sans Pro" w:hAnsi="Source Sans Pro" w:cstheme="minorHAnsi"/>
        <w:bCs/>
        <w:sz w:val="20"/>
        <w:szCs w:val="20"/>
      </w:rPr>
      <w:t>40129 BOLOGNA</w:t>
    </w:r>
    <w:r w:rsidRPr="00092176">
      <w:rPr>
        <w:rFonts w:ascii="Source Sans Pro" w:hAnsi="Source Sans Pro" w:cstheme="minorHAnsi"/>
        <w:bCs/>
        <w:sz w:val="20"/>
        <w:szCs w:val="20"/>
      </w:rPr>
      <w:br/>
    </w:r>
    <w:r w:rsidRPr="00092176">
      <w:rPr>
        <w:rFonts w:ascii="Source Sans Pro" w:hAnsi="Source Sans Pro" w:cstheme="minorHAnsi"/>
        <w:bCs/>
        <w:sz w:val="20"/>
        <w:szCs w:val="20"/>
      </w:rPr>
      <w:t xml:space="preserve">Tel. </w:t>
    </w:r>
    <w:r>
      <w:rPr>
        <w:rFonts w:ascii="Source Sans Pro" w:hAnsi="Source Sans Pro" w:cstheme="minorHAnsi"/>
        <w:bCs/>
        <w:sz w:val="20"/>
        <w:szCs w:val="20"/>
      </w:rPr>
      <w:t>+39 051 639 8485-8487 –</w:t>
    </w:r>
    <w:r w:rsidR="006A08D1">
      <w:rPr>
        <w:rFonts w:ascii="Source Sans Pro" w:hAnsi="Source Sans Pro" w:cstheme="minorHAnsi"/>
        <w:bCs/>
        <w:sz w:val="20"/>
        <w:szCs w:val="20"/>
      </w:rPr>
      <w:t xml:space="preserve"> Email</w:t>
    </w:r>
    <w:r>
      <w:rPr>
        <w:rFonts w:ascii="Source Sans Pro" w:hAnsi="Source Sans Pro" w:cstheme="minorHAnsi"/>
        <w:bCs/>
        <w:sz w:val="20"/>
        <w:szCs w:val="20"/>
      </w:rPr>
      <w:t xml:space="preserve"> </w:t>
    </w:r>
    <w:r w:rsidRPr="00CA7C03" w:rsidR="006A08D1">
      <w:rPr>
        <w:rFonts w:ascii="Source Sans Pro" w:hAnsi="Source Sans Pro" w:cstheme="minorHAnsi"/>
        <w:bCs/>
        <w:sz w:val="20"/>
        <w:szCs w:val="20"/>
      </w:rPr>
      <w:t>protocollo.adrbo@pec.cnr.it</w:t>
    </w:r>
  </w:p>
  <w:p w:rsidRPr="008422C3" w:rsidR="008422C3" w:rsidP="008422C3" w:rsidRDefault="00CA7C03" w14:paraId="3A8EC8D2" w14:textId="7A14B7E5">
    <w:pPr>
      <w:pStyle w:val="Pidipagina"/>
      <w:jc w:val="center"/>
      <w:rPr>
        <w:rFonts w:ascii="Source Sans Pro" w:hAnsi="Source Sans Pro"/>
        <w:sz w:val="16"/>
        <w:szCs w:val="16"/>
      </w:rPr>
    </w:pPr>
    <w:r>
      <w:rPr>
        <w:rFonts w:ascii="Source Sans Pro" w:hAnsi="Source Sans Pro" w:cstheme="minorHAnsi"/>
        <w:bCs/>
        <w:sz w:val="16"/>
        <w:szCs w:val="16"/>
      </w:rPr>
      <w:t>PARTITA IVA N. 02118311006</w:t>
    </w:r>
    <w:r w:rsidRPr="008422C3" w:rsidR="008422C3">
      <w:rPr>
        <w:rFonts w:ascii="Source Sans Pro" w:hAnsi="Source Sans Pro" w:cstheme="minorHAnsi"/>
        <w:bCs/>
        <w:sz w:val="16"/>
        <w:szCs w:val="16"/>
      </w:rPr>
      <w:t xml:space="preserve"> -  CODICE FISCALE N. 80054330586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2176" w:rsidR="003229AD" w:rsidP="003229AD" w:rsidRDefault="008422C3" w14:paraId="18A9E3EA" w14:textId="79B4A98C">
    <w:pPr>
      <w:pStyle w:val="Pidipagina"/>
      <w:jc w:val="center"/>
      <w:rPr>
        <w:rFonts w:ascii="Source Sans Pro" w:hAnsi="Source Sans Pro" w:cstheme="minorHAnsi"/>
        <w:sz w:val="20"/>
        <w:szCs w:val="20"/>
      </w:rPr>
    </w:pPr>
    <w:r>
      <w:rPr>
        <w:rFonts w:ascii="Source Sans Pro" w:hAnsi="Source Sans Pro" w:cstheme="minorHAnsi"/>
        <w:sz w:val="20"/>
        <w:szCs w:val="20"/>
      </w:rPr>
      <w:t>C</w:t>
    </w:r>
    <w:r w:rsidRPr="00182AA3" w:rsidR="003229AD">
      <w:rPr>
        <w:rFonts w:ascii="Source Sans Pro" w:hAnsi="Source Sans Pro" w:cstheme="minorHAnsi"/>
        <w:sz w:val="20"/>
        <w:szCs w:val="20"/>
      </w:rPr>
      <w:t>NR-</w:t>
    </w:r>
    <w:r w:rsidR="00092176">
      <w:rPr>
        <w:rFonts w:ascii="Source Sans Pro" w:hAnsi="Source Sans Pro" w:cstheme="minorHAnsi"/>
        <w:sz w:val="20"/>
        <w:szCs w:val="20"/>
      </w:rPr>
      <w:t>Area Territoriale di Ricerca di Bologna</w:t>
    </w:r>
  </w:p>
  <w:p w:rsidRPr="00182AA3" w:rsidR="003229AD" w:rsidP="003229AD" w:rsidRDefault="003229AD" w14:paraId="48995422" w14:textId="0F144C89">
    <w:pPr>
      <w:pStyle w:val="Pidipagina"/>
      <w:ind w:left="-180"/>
      <w:jc w:val="center"/>
      <w:rPr>
        <w:rFonts w:ascii="Source Sans Pro" w:hAnsi="Source Sans Pro" w:cstheme="minorHAnsi"/>
        <w:bCs/>
        <w:sz w:val="20"/>
        <w:szCs w:val="20"/>
      </w:rPr>
    </w:pPr>
    <w:r w:rsidRPr="00092176">
      <w:rPr>
        <w:rFonts w:ascii="Source Sans Pro" w:hAnsi="Source Sans Pro" w:cstheme="minorHAnsi"/>
        <w:bCs/>
        <w:sz w:val="20"/>
        <w:szCs w:val="20"/>
      </w:rPr>
      <w:t xml:space="preserve">Via </w:t>
    </w:r>
    <w:proofErr w:type="spellStart"/>
    <w:r w:rsidR="00092176">
      <w:rPr>
        <w:rFonts w:ascii="Source Sans Pro" w:hAnsi="Source Sans Pro" w:cstheme="minorHAnsi"/>
        <w:bCs/>
        <w:sz w:val="20"/>
        <w:szCs w:val="20"/>
      </w:rPr>
      <w:t>P.Gobetti</w:t>
    </w:r>
    <w:proofErr w:type="spellEnd"/>
    <w:r w:rsidRPr="00092176">
      <w:rPr>
        <w:rFonts w:ascii="Source Sans Pro" w:hAnsi="Source Sans Pro" w:cstheme="minorHAnsi"/>
        <w:bCs/>
        <w:sz w:val="20"/>
        <w:szCs w:val="20"/>
      </w:rPr>
      <w:t xml:space="preserve"> n.</w:t>
    </w:r>
    <w:r w:rsidR="00092176">
      <w:rPr>
        <w:rFonts w:ascii="Source Sans Pro" w:hAnsi="Source Sans Pro" w:cstheme="minorHAnsi"/>
        <w:bCs/>
        <w:sz w:val="20"/>
        <w:szCs w:val="20"/>
      </w:rPr>
      <w:t>101</w:t>
    </w:r>
    <w:r w:rsidRPr="00092176">
      <w:rPr>
        <w:rFonts w:ascii="Source Sans Pro" w:hAnsi="Source Sans Pro" w:cstheme="minorHAnsi"/>
        <w:bCs/>
        <w:sz w:val="20"/>
        <w:szCs w:val="20"/>
      </w:rPr>
      <w:t xml:space="preserve"> </w:t>
    </w:r>
    <w:r w:rsidR="00092176">
      <w:rPr>
        <w:rFonts w:ascii="Source Sans Pro" w:hAnsi="Source Sans Pro" w:cstheme="minorHAnsi"/>
        <w:bCs/>
        <w:sz w:val="20"/>
        <w:szCs w:val="20"/>
      </w:rPr>
      <w:t>–</w:t>
    </w:r>
    <w:r w:rsidRPr="00092176">
      <w:rPr>
        <w:rFonts w:ascii="Source Sans Pro" w:hAnsi="Source Sans Pro" w:cstheme="minorHAnsi"/>
        <w:bCs/>
        <w:sz w:val="20"/>
        <w:szCs w:val="20"/>
      </w:rPr>
      <w:t xml:space="preserve"> </w:t>
    </w:r>
    <w:r w:rsidR="00092176">
      <w:rPr>
        <w:rFonts w:ascii="Source Sans Pro" w:hAnsi="Source Sans Pro" w:cstheme="minorHAnsi"/>
        <w:bCs/>
        <w:sz w:val="20"/>
        <w:szCs w:val="20"/>
      </w:rPr>
      <w:t>40129 BOLOGNA</w:t>
    </w:r>
    <w:r w:rsidRPr="00092176">
      <w:rPr>
        <w:rFonts w:ascii="Source Sans Pro" w:hAnsi="Source Sans Pro" w:cstheme="minorHAnsi"/>
        <w:bCs/>
        <w:sz w:val="20"/>
        <w:szCs w:val="20"/>
      </w:rPr>
      <w:br/>
    </w:r>
    <w:r w:rsidRPr="00092176">
      <w:rPr>
        <w:rFonts w:ascii="Source Sans Pro" w:hAnsi="Source Sans Pro" w:cstheme="minorHAnsi"/>
        <w:bCs/>
        <w:sz w:val="20"/>
        <w:szCs w:val="20"/>
      </w:rPr>
      <w:t xml:space="preserve">Tel. </w:t>
    </w:r>
    <w:r w:rsidR="00092176">
      <w:rPr>
        <w:rFonts w:ascii="Source Sans Pro" w:hAnsi="Source Sans Pro" w:cstheme="minorHAnsi"/>
        <w:bCs/>
        <w:sz w:val="20"/>
        <w:szCs w:val="20"/>
      </w:rPr>
      <w:t>+39 051 639 8485-8487 – amministrazione@area.bo.cnr.it</w:t>
    </w:r>
    <w:r w:rsidRPr="00182AA3">
      <w:rPr>
        <w:rFonts w:ascii="Source Sans Pro" w:hAnsi="Source Sans Pro" w:cstheme="minorHAnsi"/>
        <w:bCs/>
        <w:sz w:val="20"/>
        <w:szCs w:val="20"/>
      </w:rPr>
      <w:t xml:space="preserve"> </w:t>
    </w:r>
  </w:p>
  <w:p w:rsidRPr="00FD2D74" w:rsidR="001757DC" w:rsidP="001757DC" w:rsidRDefault="001757DC" w14:paraId="783E178F" w14:textId="77777777">
    <w:pPr>
      <w:pStyle w:val="Pidipagina"/>
      <w:jc w:val="center"/>
      <w:rPr>
        <w:rFonts w:asciiTheme="minorHAnsi" w:hAnsiTheme="minorHAnsi" w:cstheme="minorHAnsi"/>
        <w:bCs/>
        <w:color w:val="A5A5A5"/>
        <w:sz w:val="20"/>
        <w:szCs w:val="20"/>
      </w:rPr>
    </w:pPr>
  </w:p>
  <w:p w:rsidR="00FF3FAA" w:rsidRDefault="00FF3FAA" w14:paraId="4C35FFD1" w14:textId="7777777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A3A" w:rsidRDefault="00520A3A" w14:paraId="105FFE60" w14:textId="77777777">
      <w:r>
        <w:separator/>
      </w:r>
    </w:p>
  </w:footnote>
  <w:footnote w:type="continuationSeparator" w:id="0">
    <w:p w:rsidR="00520A3A" w:rsidRDefault="00520A3A" w14:paraId="357E55D7"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387247" w:rsidP="00387247" w:rsidRDefault="008422C3" w14:paraId="38029DCE" w14:textId="47FBFF61">
    <w:pPr>
      <w:pStyle w:val="Intestazione"/>
      <w:jc w:val="center"/>
      <w:rPr>
        <w:b/>
        <w:bCs/>
        <w:sz w:val="26"/>
        <w:szCs w:val="26"/>
      </w:rPr>
    </w:pPr>
    <w:r>
      <w:rPr>
        <w:b/>
        <w:bCs/>
        <w:noProof/>
        <w:sz w:val="26"/>
        <w:szCs w:val="26"/>
      </w:rPr>
      <w:drawing>
        <wp:inline distT="0" distB="0" distL="0" distR="0" wp14:anchorId="694AEA30" wp14:editId="556DBADB">
          <wp:extent cx="5099116" cy="652273"/>
          <wp:effectExtent l="0" t="0" r="63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NR-cartaintesta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9116" cy="652273"/>
                  </a:xfrm>
                  <a:prstGeom prst="rect">
                    <a:avLst/>
                  </a:prstGeom>
                </pic:spPr>
              </pic:pic>
            </a:graphicData>
          </a:graphic>
        </wp:inline>
      </w:drawing>
    </w:r>
  </w:p>
  <w:p w:rsidRPr="00501147" w:rsidR="00A66B8C" w:rsidP="00387247" w:rsidRDefault="00A66B8C" w14:paraId="39C976BA" w14:textId="00DC8BA6">
    <w:pPr>
      <w:pStyle w:val="Intestazione"/>
      <w:jc w:val="center"/>
      <w:rPr>
        <w:rFonts w:ascii="Source Sans Pro" w:hAnsi="Source Sans Pro"/>
        <w:b/>
        <w:bCs/>
        <w:color w:val="1F4E79" w:themeColor="accent1" w:themeShade="80"/>
        <w:sz w:val="26"/>
        <w:szCs w:val="26"/>
      </w:rPr>
    </w:pPr>
  </w:p>
  <w:p w:rsidRPr="00501147" w:rsidR="00A66B8C" w:rsidP="00387247" w:rsidRDefault="00A66B8C" w14:paraId="27E61D1F" w14:textId="0E59E09E">
    <w:pPr>
      <w:pStyle w:val="Intestazione"/>
      <w:jc w:val="center"/>
      <w:rPr>
        <w:rFonts w:ascii="Source Sans Pro" w:hAnsi="Source Sans Pro"/>
        <w:b/>
        <w:bCs/>
        <w:color w:val="1F4E79" w:themeColor="accent1" w:themeShade="80"/>
        <w:sz w:val="26"/>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B63" w:rsidP="0060681C" w:rsidRDefault="00370B63" w14:paraId="529D6EE3" w14:textId="59E0006F">
    <w:pPr>
      <w:pStyle w:val="Intestazione"/>
      <w:jc w:val="center"/>
      <w:rPr>
        <w:rFonts w:asciiTheme="majorHAnsi" w:hAnsiTheme="majorHAnsi" w:cstheme="majorHAnsi"/>
        <w:b/>
        <w:bCs/>
        <w:noProof/>
        <w:sz w:val="26"/>
        <w:szCs w:val="26"/>
      </w:rPr>
    </w:pPr>
  </w:p>
  <w:p w:rsidR="00387895" w:rsidP="0060681C" w:rsidRDefault="00387895" w14:paraId="30F6AE07" w14:textId="77777777">
    <w:pPr>
      <w:pStyle w:val="Intestazione"/>
      <w:jc w:val="center"/>
      <w:rPr>
        <w:rFonts w:asciiTheme="majorHAnsi" w:hAnsiTheme="majorHAnsi" w:cstheme="majorHAnsi"/>
        <w:b/>
        <w:bCs/>
        <w:noProof/>
        <w:sz w:val="26"/>
        <w:szCs w:val="26"/>
        <w:highlight w:val="yell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0A68"/>
    <w:multiLevelType w:val="hybridMultilevel"/>
    <w:tmpl w:val="EFBA7502"/>
    <w:lvl w:ilvl="0" w:tplc="EE70D3B8">
      <w:start w:val="1"/>
      <w:numFmt w:val="bullet"/>
      <w:lvlText w:val="­"/>
      <w:lvlJc w:val="left"/>
      <w:pPr>
        <w:ind w:left="720" w:hanging="360"/>
      </w:pPr>
      <w:rPr>
        <w:rFonts w:hint="default" w:ascii="Calisto MT" w:hAnsi="Calisto MT"/>
        <w:color w:val="auto"/>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16B55E0B"/>
    <w:multiLevelType w:val="hybridMultilevel"/>
    <w:tmpl w:val="18E0CD6C"/>
    <w:lvl w:ilvl="0" w:tplc="A7607984">
      <w:start w:val="21"/>
      <w:numFmt w:val="bullet"/>
      <w:lvlText w:val="-"/>
      <w:lvlJc w:val="left"/>
      <w:pPr>
        <w:tabs>
          <w:tab w:val="num" w:pos="360"/>
        </w:tabs>
        <w:ind w:left="360" w:hanging="360"/>
      </w:pPr>
      <w:rPr>
        <w:rFonts w:hint="default" w:ascii="Times New Roman" w:hAnsi="Times New Roman" w:eastAsia="Times New Roman"/>
      </w:rPr>
    </w:lvl>
    <w:lvl w:ilvl="1" w:tplc="04100003">
      <w:start w:val="1"/>
      <w:numFmt w:val="bullet"/>
      <w:lvlText w:val="o"/>
      <w:lvlJc w:val="left"/>
      <w:pPr>
        <w:tabs>
          <w:tab w:val="num" w:pos="1080"/>
        </w:tabs>
        <w:ind w:left="1080" w:hanging="360"/>
      </w:pPr>
      <w:rPr>
        <w:rFonts w:hint="default" w:ascii="Courier New" w:hAnsi="Courier New" w:cs="Courier New"/>
      </w:rPr>
    </w:lvl>
    <w:lvl w:ilvl="2" w:tplc="04100005">
      <w:start w:val="1"/>
      <w:numFmt w:val="bullet"/>
      <w:lvlText w:val=""/>
      <w:lvlJc w:val="left"/>
      <w:pPr>
        <w:tabs>
          <w:tab w:val="num" w:pos="1800"/>
        </w:tabs>
        <w:ind w:left="1800" w:hanging="360"/>
      </w:pPr>
      <w:rPr>
        <w:rFonts w:hint="default" w:ascii="Wingdings" w:hAnsi="Wingdings" w:cs="Times New Roman"/>
      </w:rPr>
    </w:lvl>
    <w:lvl w:ilvl="3" w:tplc="04100001">
      <w:start w:val="1"/>
      <w:numFmt w:val="bullet"/>
      <w:lvlText w:val=""/>
      <w:lvlJc w:val="left"/>
      <w:pPr>
        <w:tabs>
          <w:tab w:val="num" w:pos="2520"/>
        </w:tabs>
        <w:ind w:left="2520" w:hanging="360"/>
      </w:pPr>
      <w:rPr>
        <w:rFonts w:hint="default" w:ascii="Symbol" w:hAnsi="Symbol" w:cs="Times New Roman"/>
      </w:rPr>
    </w:lvl>
    <w:lvl w:ilvl="4" w:tplc="04100003">
      <w:start w:val="1"/>
      <w:numFmt w:val="bullet"/>
      <w:lvlText w:val="o"/>
      <w:lvlJc w:val="left"/>
      <w:pPr>
        <w:tabs>
          <w:tab w:val="num" w:pos="3240"/>
        </w:tabs>
        <w:ind w:left="3240" w:hanging="360"/>
      </w:pPr>
      <w:rPr>
        <w:rFonts w:hint="default" w:ascii="Courier New" w:hAnsi="Courier New" w:cs="Courier New"/>
      </w:rPr>
    </w:lvl>
    <w:lvl w:ilvl="5" w:tplc="04100005">
      <w:start w:val="1"/>
      <w:numFmt w:val="bullet"/>
      <w:lvlText w:val=""/>
      <w:lvlJc w:val="left"/>
      <w:pPr>
        <w:tabs>
          <w:tab w:val="num" w:pos="3960"/>
        </w:tabs>
        <w:ind w:left="3960" w:hanging="360"/>
      </w:pPr>
      <w:rPr>
        <w:rFonts w:hint="default" w:ascii="Wingdings" w:hAnsi="Wingdings" w:cs="Times New Roman"/>
      </w:rPr>
    </w:lvl>
    <w:lvl w:ilvl="6" w:tplc="04100001">
      <w:start w:val="1"/>
      <w:numFmt w:val="bullet"/>
      <w:lvlText w:val=""/>
      <w:lvlJc w:val="left"/>
      <w:pPr>
        <w:tabs>
          <w:tab w:val="num" w:pos="4680"/>
        </w:tabs>
        <w:ind w:left="4680" w:hanging="360"/>
      </w:pPr>
      <w:rPr>
        <w:rFonts w:hint="default" w:ascii="Symbol" w:hAnsi="Symbol" w:cs="Times New Roman"/>
      </w:rPr>
    </w:lvl>
    <w:lvl w:ilvl="7" w:tplc="04100003">
      <w:start w:val="1"/>
      <w:numFmt w:val="bullet"/>
      <w:lvlText w:val="o"/>
      <w:lvlJc w:val="left"/>
      <w:pPr>
        <w:tabs>
          <w:tab w:val="num" w:pos="5400"/>
        </w:tabs>
        <w:ind w:left="5400" w:hanging="360"/>
      </w:pPr>
      <w:rPr>
        <w:rFonts w:hint="default" w:ascii="Courier New" w:hAnsi="Courier New" w:cs="Courier New"/>
      </w:rPr>
    </w:lvl>
    <w:lvl w:ilvl="8" w:tplc="04100005">
      <w:start w:val="1"/>
      <w:numFmt w:val="bullet"/>
      <w:lvlText w:val=""/>
      <w:lvlJc w:val="left"/>
      <w:pPr>
        <w:tabs>
          <w:tab w:val="num" w:pos="6120"/>
        </w:tabs>
        <w:ind w:left="6120" w:hanging="360"/>
      </w:pPr>
      <w:rPr>
        <w:rFonts w:hint="default" w:ascii="Wingdings" w:hAnsi="Wingdings" w:cs="Times New Roman"/>
      </w:rPr>
    </w:lvl>
  </w:abstractNum>
  <w:abstractNum w:abstractNumId="2" w15:restartNumberingAfterBreak="0">
    <w:nsid w:val="1C645AA5"/>
    <w:multiLevelType w:val="hybridMultilevel"/>
    <w:tmpl w:val="9A90FB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710317"/>
    <w:multiLevelType w:val="hybridMultilevel"/>
    <w:tmpl w:val="D020E96A"/>
    <w:lvl w:ilvl="0" w:tplc="B7302CC4">
      <w:start w:val="1"/>
      <w:numFmt w:val="decimal"/>
      <w:lvlText w:val="%1."/>
      <w:lvlJc w:val="left"/>
      <w:pPr>
        <w:tabs>
          <w:tab w:val="num" w:pos="705"/>
        </w:tabs>
        <w:ind w:left="705" w:hanging="705"/>
      </w:pPr>
      <w:rPr>
        <w:rFonts w:hint="default" w:ascii="Times New Roman" w:hAnsi="Times New Roman" w:cs="Times New Roman"/>
      </w:rPr>
    </w:lvl>
    <w:lvl w:ilvl="1" w:tplc="04100019">
      <w:start w:val="1"/>
      <w:numFmt w:val="lowerLetter"/>
      <w:lvlText w:val="%2."/>
      <w:lvlJc w:val="left"/>
      <w:pPr>
        <w:tabs>
          <w:tab w:val="num" w:pos="1080"/>
        </w:tabs>
        <w:ind w:left="1080" w:hanging="360"/>
      </w:pPr>
      <w:rPr>
        <w:rFonts w:ascii="Times New Roman" w:hAnsi="Times New Roman" w:cs="Times New Roman"/>
      </w:rPr>
    </w:lvl>
    <w:lvl w:ilvl="2" w:tplc="0410001B">
      <w:start w:val="1"/>
      <w:numFmt w:val="lowerRoman"/>
      <w:lvlText w:val="%3."/>
      <w:lvlJc w:val="right"/>
      <w:pPr>
        <w:tabs>
          <w:tab w:val="num" w:pos="1800"/>
        </w:tabs>
        <w:ind w:left="1800" w:hanging="180"/>
      </w:pPr>
      <w:rPr>
        <w:rFonts w:ascii="Times New Roman" w:hAnsi="Times New Roman" w:cs="Times New Roman"/>
      </w:rPr>
    </w:lvl>
    <w:lvl w:ilvl="3" w:tplc="0410000F">
      <w:start w:val="1"/>
      <w:numFmt w:val="decimal"/>
      <w:lvlText w:val="%4."/>
      <w:lvlJc w:val="left"/>
      <w:pPr>
        <w:tabs>
          <w:tab w:val="num" w:pos="2520"/>
        </w:tabs>
        <w:ind w:left="2520" w:hanging="360"/>
      </w:pPr>
      <w:rPr>
        <w:rFonts w:ascii="Times New Roman" w:hAnsi="Times New Roman" w:cs="Times New Roman"/>
      </w:rPr>
    </w:lvl>
    <w:lvl w:ilvl="4" w:tplc="04100019">
      <w:start w:val="1"/>
      <w:numFmt w:val="lowerLetter"/>
      <w:lvlText w:val="%5."/>
      <w:lvlJc w:val="left"/>
      <w:pPr>
        <w:tabs>
          <w:tab w:val="num" w:pos="3240"/>
        </w:tabs>
        <w:ind w:left="3240" w:hanging="360"/>
      </w:pPr>
      <w:rPr>
        <w:rFonts w:ascii="Times New Roman" w:hAnsi="Times New Roman" w:cs="Times New Roman"/>
      </w:rPr>
    </w:lvl>
    <w:lvl w:ilvl="5" w:tplc="0410001B">
      <w:start w:val="1"/>
      <w:numFmt w:val="lowerRoman"/>
      <w:lvlText w:val="%6."/>
      <w:lvlJc w:val="right"/>
      <w:pPr>
        <w:tabs>
          <w:tab w:val="num" w:pos="3960"/>
        </w:tabs>
        <w:ind w:left="3960" w:hanging="180"/>
      </w:pPr>
      <w:rPr>
        <w:rFonts w:ascii="Times New Roman" w:hAnsi="Times New Roman" w:cs="Times New Roman"/>
      </w:rPr>
    </w:lvl>
    <w:lvl w:ilvl="6" w:tplc="0410000F">
      <w:start w:val="1"/>
      <w:numFmt w:val="decimal"/>
      <w:lvlText w:val="%7."/>
      <w:lvlJc w:val="left"/>
      <w:pPr>
        <w:tabs>
          <w:tab w:val="num" w:pos="4680"/>
        </w:tabs>
        <w:ind w:left="4680" w:hanging="360"/>
      </w:pPr>
      <w:rPr>
        <w:rFonts w:ascii="Times New Roman" w:hAnsi="Times New Roman" w:cs="Times New Roman"/>
      </w:rPr>
    </w:lvl>
    <w:lvl w:ilvl="7" w:tplc="04100019">
      <w:start w:val="1"/>
      <w:numFmt w:val="lowerLetter"/>
      <w:lvlText w:val="%8."/>
      <w:lvlJc w:val="left"/>
      <w:pPr>
        <w:tabs>
          <w:tab w:val="num" w:pos="5400"/>
        </w:tabs>
        <w:ind w:left="5400" w:hanging="360"/>
      </w:pPr>
      <w:rPr>
        <w:rFonts w:ascii="Times New Roman" w:hAnsi="Times New Roman" w:cs="Times New Roman"/>
      </w:rPr>
    </w:lvl>
    <w:lvl w:ilvl="8" w:tplc="0410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3EC95BB9"/>
    <w:multiLevelType w:val="hybridMultilevel"/>
    <w:tmpl w:val="701681C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401D6976"/>
    <w:multiLevelType w:val="hybridMultilevel"/>
    <w:tmpl w:val="1F4AA0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3C91259"/>
    <w:multiLevelType w:val="hybridMultilevel"/>
    <w:tmpl w:val="3DDEC6D6"/>
    <w:lvl w:ilvl="0" w:tplc="A7607984">
      <w:start w:val="21"/>
      <w:numFmt w:val="bullet"/>
      <w:lvlText w:val="-"/>
      <w:lvlJc w:val="left"/>
      <w:pPr>
        <w:ind w:left="720" w:hanging="360"/>
      </w:pPr>
      <w:rPr>
        <w:rFonts w:hint="default" w:ascii="Times New Roman" w:hAnsi="Times New Roman"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558E79F2"/>
    <w:multiLevelType w:val="hybridMultilevel"/>
    <w:tmpl w:val="1CFC5D64"/>
    <w:lvl w:ilvl="0" w:tplc="65EA3E08">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FF5310"/>
    <w:multiLevelType w:val="hybridMultilevel"/>
    <w:tmpl w:val="40B6064A"/>
    <w:lvl w:ilvl="0" w:tplc="CCA8CA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85E5F7A"/>
    <w:multiLevelType w:val="hybridMultilevel"/>
    <w:tmpl w:val="36F4A94C"/>
    <w:lvl w:ilvl="0" w:tplc="31AC14F6">
      <w:start w:val="1"/>
      <w:numFmt w:val="lowerLetter"/>
      <w:lvlText w:val="%1)"/>
      <w:lvlJc w:val="left"/>
      <w:pPr>
        <w:ind w:left="54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7DCEDBBA">
      <w:start w:val="1"/>
      <w:numFmt w:val="lowerLetter"/>
      <w:lvlText w:val="%2"/>
      <w:lvlJc w:val="left"/>
      <w:pPr>
        <w:ind w:left="128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4C02EBE">
      <w:start w:val="1"/>
      <w:numFmt w:val="lowerRoman"/>
      <w:lvlText w:val="%3"/>
      <w:lvlJc w:val="left"/>
      <w:pPr>
        <w:ind w:left="20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A9265B2">
      <w:start w:val="1"/>
      <w:numFmt w:val="decimal"/>
      <w:lvlText w:val="%4"/>
      <w:lvlJc w:val="left"/>
      <w:pPr>
        <w:ind w:left="27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D0E080E">
      <w:start w:val="1"/>
      <w:numFmt w:val="lowerLetter"/>
      <w:lvlText w:val="%5"/>
      <w:lvlJc w:val="left"/>
      <w:pPr>
        <w:ind w:left="34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8040A064">
      <w:start w:val="1"/>
      <w:numFmt w:val="lowerRoman"/>
      <w:lvlText w:val="%6"/>
      <w:lvlJc w:val="left"/>
      <w:pPr>
        <w:ind w:left="416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478CAD2">
      <w:start w:val="1"/>
      <w:numFmt w:val="decimal"/>
      <w:lvlText w:val="%7"/>
      <w:lvlJc w:val="left"/>
      <w:pPr>
        <w:ind w:left="488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5BE61D00">
      <w:start w:val="1"/>
      <w:numFmt w:val="lowerLetter"/>
      <w:lvlText w:val="%8"/>
      <w:lvlJc w:val="left"/>
      <w:pPr>
        <w:ind w:left="56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1AE651C">
      <w:start w:val="1"/>
      <w:numFmt w:val="lowerRoman"/>
      <w:lvlText w:val="%9"/>
      <w:lvlJc w:val="left"/>
      <w:pPr>
        <w:ind w:left="63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5C056BB6"/>
    <w:multiLevelType w:val="hybridMultilevel"/>
    <w:tmpl w:val="ED1048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AA6ECF"/>
    <w:multiLevelType w:val="hybridMultilevel"/>
    <w:tmpl w:val="B88C5612"/>
    <w:lvl w:ilvl="0" w:tplc="04100001">
      <w:start w:val="1"/>
      <w:numFmt w:val="bullet"/>
      <w:lvlText w:val=""/>
      <w:lvlJc w:val="left"/>
      <w:pPr>
        <w:ind w:left="1080" w:hanging="360"/>
      </w:pPr>
      <w:rPr>
        <w:rFonts w:hint="default" w:ascii="Symbol" w:hAnsi="Symbol"/>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12" w15:restartNumberingAfterBreak="0">
    <w:nsid w:val="637555FD"/>
    <w:multiLevelType w:val="hybridMultilevel"/>
    <w:tmpl w:val="7E760262"/>
    <w:lvl w:ilvl="0" w:tplc="2086F7A0">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ADF3528"/>
    <w:multiLevelType w:val="hybridMultilevel"/>
    <w:tmpl w:val="B1DE48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4C615A3"/>
    <w:multiLevelType w:val="hybridMultilevel"/>
    <w:tmpl w:val="BED8E8C8"/>
    <w:lvl w:ilvl="0" w:tplc="A3E4F79C">
      <w:start w:val="1"/>
      <w:numFmt w:val="decimal"/>
      <w:lvlText w:val="%1."/>
      <w:lvlJc w:val="left"/>
      <w:pPr>
        <w:ind w:left="720" w:hanging="360"/>
      </w:pPr>
      <w:rPr>
        <w:rFonts w:hint="default"/>
        <w:color w:val="241C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B11082D"/>
    <w:multiLevelType w:val="hybridMultilevel"/>
    <w:tmpl w:val="F18893E2"/>
    <w:lvl w:ilvl="0" w:tplc="43A8ED86">
      <w:start w:val="1"/>
      <w:numFmt w:val="decimal"/>
      <w:lvlText w:val="%1."/>
      <w:lvlJc w:val="left"/>
      <w:pPr>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5"/>
  </w:num>
  <w:num w:numId="5">
    <w:abstractNumId w:val="4"/>
  </w:num>
  <w:num w:numId="6">
    <w:abstractNumId w:val="13"/>
  </w:num>
  <w:num w:numId="7">
    <w:abstractNumId w:val="15"/>
  </w:num>
  <w:num w:numId="8">
    <w:abstractNumId w:val="6"/>
  </w:num>
  <w:num w:numId="9">
    <w:abstractNumId w:val="2"/>
  </w:num>
  <w:num w:numId="10">
    <w:abstractNumId w:val="14"/>
  </w:num>
  <w:num w:numId="11">
    <w:abstractNumId w:val="7"/>
  </w:num>
  <w:num w:numId="12">
    <w:abstractNumId w:val="11"/>
  </w:num>
  <w:num w:numId="13">
    <w:abstractNumId w:val="12"/>
  </w:num>
  <w:num w:numId="14">
    <w:abstractNumId w:val="0"/>
  </w:num>
  <w:num w:numId="15">
    <w:abstractNumId w:val="8"/>
  </w:num>
  <w:num w:numId="16">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283"/>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46"/>
    <w:rsid w:val="00001001"/>
    <w:rsid w:val="00012E57"/>
    <w:rsid w:val="00013016"/>
    <w:rsid w:val="0002116F"/>
    <w:rsid w:val="00021583"/>
    <w:rsid w:val="00036669"/>
    <w:rsid w:val="00043178"/>
    <w:rsid w:val="00046097"/>
    <w:rsid w:val="00070BEB"/>
    <w:rsid w:val="00092176"/>
    <w:rsid w:val="0009251C"/>
    <w:rsid w:val="000A33AC"/>
    <w:rsid w:val="000B41C8"/>
    <w:rsid w:val="000C2D91"/>
    <w:rsid w:val="000C6D19"/>
    <w:rsid w:val="000D60A4"/>
    <w:rsid w:val="0010469E"/>
    <w:rsid w:val="00105550"/>
    <w:rsid w:val="00133D38"/>
    <w:rsid w:val="001378B8"/>
    <w:rsid w:val="001453BA"/>
    <w:rsid w:val="00175546"/>
    <w:rsid w:val="001757DC"/>
    <w:rsid w:val="0018153B"/>
    <w:rsid w:val="00182AA3"/>
    <w:rsid w:val="001838EA"/>
    <w:rsid w:val="001A579A"/>
    <w:rsid w:val="001E3C2B"/>
    <w:rsid w:val="001F0B60"/>
    <w:rsid w:val="001F7333"/>
    <w:rsid w:val="002118F2"/>
    <w:rsid w:val="0021455B"/>
    <w:rsid w:val="002211BC"/>
    <w:rsid w:val="00230C41"/>
    <w:rsid w:val="002436B2"/>
    <w:rsid w:val="002603A1"/>
    <w:rsid w:val="00267AAE"/>
    <w:rsid w:val="002A0AC4"/>
    <w:rsid w:val="002B6A2D"/>
    <w:rsid w:val="002E4976"/>
    <w:rsid w:val="002E70A4"/>
    <w:rsid w:val="002E7A21"/>
    <w:rsid w:val="002F7DCB"/>
    <w:rsid w:val="00303816"/>
    <w:rsid w:val="00314EC7"/>
    <w:rsid w:val="003229AD"/>
    <w:rsid w:val="00330566"/>
    <w:rsid w:val="00350C60"/>
    <w:rsid w:val="00353C0C"/>
    <w:rsid w:val="00364BCA"/>
    <w:rsid w:val="0036584E"/>
    <w:rsid w:val="00370B63"/>
    <w:rsid w:val="003729AB"/>
    <w:rsid w:val="00383428"/>
    <w:rsid w:val="00387247"/>
    <w:rsid w:val="00387895"/>
    <w:rsid w:val="003A25FA"/>
    <w:rsid w:val="003C29F0"/>
    <w:rsid w:val="003C39C5"/>
    <w:rsid w:val="003C6836"/>
    <w:rsid w:val="0041196A"/>
    <w:rsid w:val="004217CE"/>
    <w:rsid w:val="00425E47"/>
    <w:rsid w:val="00440A3A"/>
    <w:rsid w:val="004463E5"/>
    <w:rsid w:val="00450644"/>
    <w:rsid w:val="00456CDF"/>
    <w:rsid w:val="00465EEC"/>
    <w:rsid w:val="00483B2C"/>
    <w:rsid w:val="004843C9"/>
    <w:rsid w:val="00494036"/>
    <w:rsid w:val="00494544"/>
    <w:rsid w:val="004A540C"/>
    <w:rsid w:val="004C6A23"/>
    <w:rsid w:val="004D382A"/>
    <w:rsid w:val="00501147"/>
    <w:rsid w:val="00520A3A"/>
    <w:rsid w:val="00563625"/>
    <w:rsid w:val="005773CD"/>
    <w:rsid w:val="00593B98"/>
    <w:rsid w:val="005D68B8"/>
    <w:rsid w:val="005D68BB"/>
    <w:rsid w:val="005E2C07"/>
    <w:rsid w:val="005F1989"/>
    <w:rsid w:val="00603357"/>
    <w:rsid w:val="0060681C"/>
    <w:rsid w:val="00614E35"/>
    <w:rsid w:val="00617FBA"/>
    <w:rsid w:val="00636A9B"/>
    <w:rsid w:val="00687E71"/>
    <w:rsid w:val="00696883"/>
    <w:rsid w:val="006A08D1"/>
    <w:rsid w:val="006A4867"/>
    <w:rsid w:val="006F659F"/>
    <w:rsid w:val="007128DE"/>
    <w:rsid w:val="00720F66"/>
    <w:rsid w:val="007327F4"/>
    <w:rsid w:val="007376C2"/>
    <w:rsid w:val="007469D6"/>
    <w:rsid w:val="007675A9"/>
    <w:rsid w:val="0077712C"/>
    <w:rsid w:val="0078425E"/>
    <w:rsid w:val="007A1503"/>
    <w:rsid w:val="007D11CD"/>
    <w:rsid w:val="00810EE3"/>
    <w:rsid w:val="00824002"/>
    <w:rsid w:val="00834340"/>
    <w:rsid w:val="00834F0B"/>
    <w:rsid w:val="008422C3"/>
    <w:rsid w:val="00865D06"/>
    <w:rsid w:val="0087774B"/>
    <w:rsid w:val="0088099F"/>
    <w:rsid w:val="00886D49"/>
    <w:rsid w:val="008925D3"/>
    <w:rsid w:val="008973D0"/>
    <w:rsid w:val="008A2C39"/>
    <w:rsid w:val="008A6ECF"/>
    <w:rsid w:val="008B248B"/>
    <w:rsid w:val="008B74BE"/>
    <w:rsid w:val="008D42F8"/>
    <w:rsid w:val="008F735C"/>
    <w:rsid w:val="009077FB"/>
    <w:rsid w:val="00915BD2"/>
    <w:rsid w:val="00935362"/>
    <w:rsid w:val="00937ED5"/>
    <w:rsid w:val="0098742C"/>
    <w:rsid w:val="00991CA6"/>
    <w:rsid w:val="009A6BC3"/>
    <w:rsid w:val="00A03861"/>
    <w:rsid w:val="00A115DF"/>
    <w:rsid w:val="00A24EB1"/>
    <w:rsid w:val="00A25A76"/>
    <w:rsid w:val="00A66B8C"/>
    <w:rsid w:val="00A869E5"/>
    <w:rsid w:val="00AA472B"/>
    <w:rsid w:val="00AB522F"/>
    <w:rsid w:val="00AB5F43"/>
    <w:rsid w:val="00AC26F3"/>
    <w:rsid w:val="00AD1615"/>
    <w:rsid w:val="00AD1A9A"/>
    <w:rsid w:val="00AE4B53"/>
    <w:rsid w:val="00AF4AEB"/>
    <w:rsid w:val="00AF725B"/>
    <w:rsid w:val="00B141E6"/>
    <w:rsid w:val="00B86C1B"/>
    <w:rsid w:val="00BA087B"/>
    <w:rsid w:val="00C131F6"/>
    <w:rsid w:val="00C41122"/>
    <w:rsid w:val="00C608C9"/>
    <w:rsid w:val="00C67062"/>
    <w:rsid w:val="00C9683B"/>
    <w:rsid w:val="00CA7C03"/>
    <w:rsid w:val="00CC4F82"/>
    <w:rsid w:val="00CF7C7C"/>
    <w:rsid w:val="00D06DB7"/>
    <w:rsid w:val="00D10BCA"/>
    <w:rsid w:val="00D17281"/>
    <w:rsid w:val="00D211B6"/>
    <w:rsid w:val="00D40872"/>
    <w:rsid w:val="00D42E33"/>
    <w:rsid w:val="00D7188C"/>
    <w:rsid w:val="00D9425C"/>
    <w:rsid w:val="00DC52AD"/>
    <w:rsid w:val="00DF6CCB"/>
    <w:rsid w:val="00E04FE5"/>
    <w:rsid w:val="00E37886"/>
    <w:rsid w:val="00E53FCA"/>
    <w:rsid w:val="00E66A3B"/>
    <w:rsid w:val="00E959E0"/>
    <w:rsid w:val="00EB646D"/>
    <w:rsid w:val="00EB6FB7"/>
    <w:rsid w:val="00EC6CD7"/>
    <w:rsid w:val="00ED1233"/>
    <w:rsid w:val="00EE6722"/>
    <w:rsid w:val="00EF4119"/>
    <w:rsid w:val="00F00263"/>
    <w:rsid w:val="00F05127"/>
    <w:rsid w:val="00F17C72"/>
    <w:rsid w:val="00F20CA1"/>
    <w:rsid w:val="00F51B97"/>
    <w:rsid w:val="00F56135"/>
    <w:rsid w:val="00F646C8"/>
    <w:rsid w:val="00F76090"/>
    <w:rsid w:val="00FA2B51"/>
    <w:rsid w:val="00FA3980"/>
    <w:rsid w:val="00FB09CF"/>
    <w:rsid w:val="00FC2999"/>
    <w:rsid w:val="00FD28AA"/>
    <w:rsid w:val="00FD6FB5"/>
    <w:rsid w:val="00FF3FA9"/>
    <w:rsid w:val="00FF3FAA"/>
    <w:rsid w:val="00FF5E26"/>
    <w:rsid w:val="5CA23CA5"/>
    <w:rsid w:val="77B112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69D66"/>
  <w15:chartTrackingRefBased/>
  <w15:docId w15:val="{B2D5D5AF-57C8-4F92-9568-5FF8075695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rPr>
      <w:sz w:val="24"/>
      <w:szCs w:val="24"/>
    </w:rPr>
  </w:style>
  <w:style w:type="paragraph" w:styleId="Titolo2">
    <w:name w:val="heading 2"/>
    <w:basedOn w:val="Normale"/>
    <w:next w:val="Normale"/>
    <w:link w:val="Titolo2Carattere"/>
    <w:qFormat/>
    <w:rsid w:val="008B248B"/>
    <w:pPr>
      <w:keepNext/>
      <w:jc w:val="center"/>
      <w:outlineLvl w:val="1"/>
    </w:pPr>
    <w:rPr>
      <w:rFonts w:ascii="Palatino" w:hAnsi="Palatino"/>
      <w:b/>
      <w:color w:val="00000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character" w:styleId="HeaderChar" w:customStyle="1">
    <w:name w:val="Header Char"/>
    <w:rPr>
      <w:rFonts w:ascii="Times New Roman" w:hAnsi="Times New Roman" w:cs="Times New Roman"/>
      <w:sz w:val="24"/>
      <w:szCs w:val="24"/>
    </w:rPr>
  </w:style>
  <w:style w:type="paragraph" w:styleId="Pidipagina">
    <w:name w:val="footer"/>
    <w:basedOn w:val="Normale"/>
    <w:link w:val="PidipaginaCarattere"/>
    <w:pPr>
      <w:tabs>
        <w:tab w:val="center" w:pos="4819"/>
        <w:tab w:val="right" w:pos="9638"/>
      </w:tabs>
    </w:pPr>
  </w:style>
  <w:style w:type="character" w:styleId="FooterChar" w:customStyle="1">
    <w:name w:val="Footer Char"/>
    <w:rPr>
      <w:rFonts w:ascii="Times New Roman" w:hAnsi="Times New Roman" w:cs="Times New Roman"/>
      <w:sz w:val="24"/>
      <w:szCs w:val="24"/>
    </w:rPr>
  </w:style>
  <w:style w:type="paragraph" w:styleId="Corpodeltesto3">
    <w:name w:val="Body Text 3"/>
    <w:basedOn w:val="Normale"/>
    <w:semiHidden/>
    <w:pPr>
      <w:spacing w:line="360" w:lineRule="auto"/>
    </w:pPr>
    <w:rPr>
      <w:rFonts w:ascii="Comic Sans MS" w:hAnsi="Comic Sans MS"/>
      <w:sz w:val="20"/>
      <w:szCs w:val="20"/>
    </w:rPr>
  </w:style>
  <w:style w:type="character" w:styleId="BodyText3Char" w:customStyle="1">
    <w:name w:val="Body Text 3 Char"/>
    <w:rPr>
      <w:rFonts w:ascii="Times New Roman" w:hAnsi="Times New Roman" w:cs="Times New Roman"/>
      <w:sz w:val="16"/>
      <w:szCs w:val="16"/>
    </w:rPr>
  </w:style>
  <w:style w:type="character" w:styleId="Collegamentoipertestuale">
    <w:name w:val="Hyperlink"/>
    <w:semiHidden/>
    <w:rPr>
      <w:rFonts w:ascii="Times New Roman" w:hAnsi="Times New Roman" w:cs="Times New Roman"/>
      <w:color w:val="0000FF"/>
      <w:u w:val="single"/>
    </w:rPr>
  </w:style>
  <w:style w:type="character" w:styleId="Collegamentovisitato">
    <w:name w:val="FollowedHyperlink"/>
    <w:semiHidden/>
    <w:rPr>
      <w:rFonts w:ascii="Times New Roman" w:hAnsi="Times New Roman" w:cs="Times New Roman"/>
      <w:color w:val="800080"/>
      <w:u w:val="single"/>
    </w:rPr>
  </w:style>
  <w:style w:type="paragraph" w:styleId="Corpodeltesto2">
    <w:name w:val="Body Text 2"/>
    <w:basedOn w:val="Normale"/>
    <w:link w:val="Corpodeltesto2Carattere"/>
    <w:semiHidden/>
    <w:pPr>
      <w:jc w:val="both"/>
    </w:pPr>
    <w:rPr>
      <w:color w:val="000000"/>
      <w:szCs w:val="20"/>
    </w:rPr>
  </w:style>
  <w:style w:type="character" w:styleId="PidipaginaCarattere" w:customStyle="1">
    <w:name w:val="Piè di pagina Carattere"/>
    <w:link w:val="Pidipagina"/>
    <w:rsid w:val="00E53FCA"/>
    <w:rPr>
      <w:sz w:val="24"/>
      <w:szCs w:val="24"/>
    </w:rPr>
  </w:style>
  <w:style w:type="character" w:styleId="IntestazioneCarattere" w:customStyle="1">
    <w:name w:val="Intestazione Carattere"/>
    <w:link w:val="Intestazione"/>
    <w:uiPriority w:val="99"/>
    <w:rsid w:val="00E53FCA"/>
    <w:rPr>
      <w:sz w:val="24"/>
      <w:szCs w:val="24"/>
    </w:rPr>
  </w:style>
  <w:style w:type="paragraph" w:styleId="Corpotesto">
    <w:name w:val="Body Text"/>
    <w:aliases w:val="Corpo del testo"/>
    <w:basedOn w:val="Normale"/>
    <w:link w:val="CorpotestoCarattere"/>
    <w:unhideWhenUsed/>
    <w:rsid w:val="008B248B"/>
    <w:pPr>
      <w:spacing w:after="120"/>
    </w:pPr>
  </w:style>
  <w:style w:type="character" w:styleId="CorpotestoCarattere" w:customStyle="1">
    <w:name w:val="Corpo testo Carattere"/>
    <w:aliases w:val="Corpo del testo Carattere"/>
    <w:link w:val="Corpotesto"/>
    <w:uiPriority w:val="99"/>
    <w:rsid w:val="008B248B"/>
    <w:rPr>
      <w:sz w:val="24"/>
      <w:szCs w:val="24"/>
    </w:rPr>
  </w:style>
  <w:style w:type="character" w:styleId="Titolo2Carattere" w:customStyle="1">
    <w:name w:val="Titolo 2 Carattere"/>
    <w:link w:val="Titolo2"/>
    <w:rsid w:val="008B248B"/>
    <w:rPr>
      <w:rFonts w:ascii="Palatino" w:hAnsi="Palatino"/>
      <w:b/>
      <w:color w:val="000000"/>
      <w:sz w:val="24"/>
    </w:rPr>
  </w:style>
  <w:style w:type="paragraph" w:styleId="Paragrafoelenco">
    <w:name w:val="List Paragraph"/>
    <w:basedOn w:val="Normale"/>
    <w:uiPriority w:val="34"/>
    <w:qFormat/>
    <w:rsid w:val="008B248B"/>
    <w:pPr>
      <w:ind w:left="708"/>
    </w:pPr>
    <w:rPr>
      <w:rFonts w:ascii="Cambria" w:hAnsi="Cambria" w:eastAsia="Cambria"/>
      <w:lang w:eastAsia="en-US"/>
    </w:rPr>
  </w:style>
  <w:style w:type="character" w:styleId="Corpodeltesto2Carattere" w:customStyle="1">
    <w:name w:val="Corpo del testo 2 Carattere"/>
    <w:link w:val="Corpodeltesto2"/>
    <w:semiHidden/>
    <w:rsid w:val="00F00263"/>
    <w:rPr>
      <w:color w:val="000000"/>
      <w:sz w:val="24"/>
    </w:rPr>
  </w:style>
  <w:style w:type="paragraph" w:styleId="Default" w:customStyle="1">
    <w:name w:val="Default"/>
    <w:basedOn w:val="Normale"/>
    <w:rsid w:val="005773CD"/>
    <w:pPr>
      <w:widowControl w:val="0"/>
      <w:suppressAutoHyphens/>
      <w:autoSpaceDE w:val="0"/>
    </w:pPr>
    <w:rPr>
      <w:color w:val="000000"/>
      <w:lang w:eastAsia="hi-IN" w:bidi="hi-IN"/>
    </w:rPr>
  </w:style>
  <w:style w:type="paragraph" w:styleId="CM7" w:customStyle="1">
    <w:name w:val="CM7"/>
    <w:basedOn w:val="Default"/>
    <w:next w:val="Default"/>
    <w:rsid w:val="005773CD"/>
    <w:rPr>
      <w:color w:val="auto"/>
    </w:rPr>
  </w:style>
  <w:style w:type="character" w:styleId="Enfasigrassetto">
    <w:name w:val="Strong"/>
    <w:uiPriority w:val="22"/>
    <w:qFormat/>
    <w:rsid w:val="005773CD"/>
    <w:rPr>
      <w:b/>
      <w:bCs/>
    </w:rPr>
  </w:style>
  <w:style w:type="table" w:styleId="TableGrid" w:customStyle="1">
    <w:name w:val="TableGrid"/>
    <w:rsid w:val="00C131F6"/>
    <w:rPr>
      <w:rFonts w:asciiTheme="minorHAnsi" w:hAnsiTheme="minorHAnsi" w:eastAsiaTheme="minorEastAsia" w:cstheme="minorBidi"/>
      <w:sz w:val="22"/>
      <w:szCs w:val="22"/>
    </w:rPr>
    <w:tblPr>
      <w:tblCellMar>
        <w:top w:w="0" w:type="dxa"/>
        <w:left w:w="0" w:type="dxa"/>
        <w:bottom w:w="0" w:type="dxa"/>
        <w:right w:w="0" w:type="dxa"/>
      </w:tblCellMar>
    </w:tblPr>
  </w:style>
  <w:style w:type="table" w:styleId="Grigliatabella">
    <w:name w:val="Table Grid"/>
    <w:basedOn w:val="Tabellanormale"/>
    <w:uiPriority w:val="39"/>
    <w:rsid w:val="005F198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2418">
      <w:bodyDiv w:val="1"/>
      <w:marLeft w:val="0"/>
      <w:marRight w:val="0"/>
      <w:marTop w:val="0"/>
      <w:marBottom w:val="0"/>
      <w:divBdr>
        <w:top w:val="none" w:sz="0" w:space="0" w:color="auto"/>
        <w:left w:val="none" w:sz="0" w:space="0" w:color="auto"/>
        <w:bottom w:val="none" w:sz="0" w:space="0" w:color="auto"/>
        <w:right w:val="none" w:sz="0" w:space="0" w:color="auto"/>
      </w:divBdr>
    </w:div>
    <w:div w:id="124599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36FF5FFCF675641A05DDBBC6E2C5301" ma:contentTypeVersion="10" ma:contentTypeDescription="Creare un nuovo documento." ma:contentTypeScope="" ma:versionID="042f1532658a463e22cbeb7a32daa5d2">
  <xsd:schema xmlns:xsd="http://www.w3.org/2001/XMLSchema" xmlns:xs="http://www.w3.org/2001/XMLSchema" xmlns:p="http://schemas.microsoft.com/office/2006/metadata/properties" xmlns:ns2="fe5ae041-493b-4068-8c9f-6b188d9ef84e" xmlns:ns3="067f8947-1cae-4274-bec2-03327e9e7ab8" targetNamespace="http://schemas.microsoft.com/office/2006/metadata/properties" ma:root="true" ma:fieldsID="8cc7ecce3e0737dc4474adb38c57dc46" ns2:_="" ns3:_="">
    <xsd:import namespace="fe5ae041-493b-4068-8c9f-6b188d9ef84e"/>
    <xsd:import namespace="067f8947-1cae-4274-bec2-03327e9e7a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e041-493b-4068-8c9f-6b188d9ef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7f8947-1cae-4274-bec2-03327e9e7a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a7fa42-32ab-41ca-966e-d63070370c7e}" ma:internalName="TaxCatchAll" ma:showField="CatchAllData" ma:web="067f8947-1cae-4274-bec2-03327e9e7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7f8947-1cae-4274-bec2-03327e9e7ab8" xsi:nil="true"/>
    <lcf76f155ced4ddcb4097134ff3c332f xmlns="fe5ae041-493b-4068-8c9f-6b188d9ef8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D8B88-4965-4A05-B703-C025708B2DFD}">
  <ds:schemaRefs>
    <ds:schemaRef ds:uri="http://schemas.microsoft.com/sharepoint/v3/contenttype/forms"/>
  </ds:schemaRefs>
</ds:datastoreItem>
</file>

<file path=customXml/itemProps2.xml><?xml version="1.0" encoding="utf-8"?>
<ds:datastoreItem xmlns:ds="http://schemas.openxmlformats.org/officeDocument/2006/customXml" ds:itemID="{CF3F0C1A-FC95-4D50-83F5-93C446A86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e041-493b-4068-8c9f-6b188d9ef84e"/>
    <ds:schemaRef ds:uri="067f8947-1cae-4274-bec2-03327e9e7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3BB59-D558-4F82-88FA-44F49E839168}">
  <ds:schemaRefs>
    <ds:schemaRef ds:uri="http://schemas.microsoft.com/office/2006/metadata/properties"/>
    <ds:schemaRef ds:uri="http://schemas.microsoft.com/office/infopath/2007/PartnerControls"/>
    <ds:schemaRef ds:uri="067f8947-1cae-4274-bec2-03327e9e7ab8"/>
    <ds:schemaRef ds:uri="fe5ae041-493b-4068-8c9f-6b188d9ef84e"/>
  </ds:schemaRefs>
</ds:datastoreItem>
</file>

<file path=customXml/itemProps4.xml><?xml version="1.0" encoding="utf-8"?>
<ds:datastoreItem xmlns:ds="http://schemas.openxmlformats.org/officeDocument/2006/customXml" ds:itemID="{C6E066D2-F1CF-49CF-B5E2-4522D6E776D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INFM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PROT</dc:title>
  <dc:subject/>
  <dc:creator>Danilo Imperatore</dc:creator>
  <keywords/>
  <lastModifiedBy>LUCA TABARONI</lastModifiedBy>
  <revision>4</revision>
  <dcterms:created xsi:type="dcterms:W3CDTF">2025-06-23T13:55:00.0000000Z</dcterms:created>
  <dcterms:modified xsi:type="dcterms:W3CDTF">2025-08-26T13:25:21.2049132Z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-1722021439</vt:i4>
  </property>
  <property fmtid="{D5CDD505-2E9C-101B-9397-08002B2CF9AE}" pid="3" name="ContentTypeId">
    <vt:lpwstr>0x010100F36FF5FFCF675641A05DDBBC6E2C5301</vt:lpwstr>
  </property>
</Properties>
</file>